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B69EB0E" w:rsidR="00BF6B7B" w:rsidRPr="0047685D" w:rsidRDefault="00497945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 для нужд 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E7C6BE0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7C0DE1">
        <w:rPr>
          <w:u w:val="single"/>
        </w:rPr>
        <w:t xml:space="preserve">Анисимова Ирина </w:t>
      </w:r>
      <w:bookmarkStart w:id="1" w:name="_GoBack"/>
      <w:bookmarkEnd w:id="1"/>
      <w:r w:rsidR="000D365D" w:rsidRPr="000D365D">
        <w:rPr>
          <w:u w:val="single"/>
        </w:rPr>
        <w:t>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647C0D51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168"/>
        <w:gridCol w:w="3827"/>
        <w:gridCol w:w="1176"/>
        <w:gridCol w:w="1286"/>
      </w:tblGrid>
      <w:tr w:rsidR="006E10B7" w:rsidRPr="006E10B7" w14:paraId="71C28D24" w14:textId="77777777" w:rsidTr="00164647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168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3827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2" w:name="OLE_LINK149"/>
            <w:bookmarkStart w:id="3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0075E0" w:rsidRPr="006E10B7" w14:paraId="267E40A8" w14:textId="77777777" w:rsidTr="00164647">
        <w:trPr>
          <w:trHeight w:val="477"/>
        </w:trPr>
        <w:tc>
          <w:tcPr>
            <w:tcW w:w="513" w:type="dxa"/>
          </w:tcPr>
          <w:p w14:paraId="4FAD9E94" w14:textId="77777777" w:rsidR="000075E0" w:rsidRPr="006E10B7" w:rsidRDefault="000075E0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8" w:type="dxa"/>
          </w:tcPr>
          <w:p w14:paraId="52A98163" w14:textId="3A9F9EC2" w:rsidR="000075E0" w:rsidRPr="001243A8" w:rsidRDefault="004B2782" w:rsidP="0047685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</w:t>
            </w:r>
            <w:r w:rsidR="000075E0" w:rsidRPr="001243A8">
              <w:rPr>
                <w:b/>
                <w:bCs/>
                <w:sz w:val="20"/>
                <w:szCs w:val="20"/>
              </w:rPr>
              <w:t xml:space="preserve">- </w:t>
            </w:r>
            <w:r w:rsidR="00613661" w:rsidRPr="001243A8">
              <w:rPr>
                <w:b/>
                <w:bCs/>
                <w:sz w:val="20"/>
                <w:szCs w:val="20"/>
              </w:rPr>
              <w:tab/>
            </w:r>
            <w:r w:rsidR="00613661" w:rsidRPr="001243A8">
              <w:rPr>
                <w:bCs/>
                <w:sz w:val="20"/>
                <w:szCs w:val="20"/>
              </w:rPr>
              <w:t>Работы по бурению горизонтальных каналов для прокладки кабелей или дренажных труб</w:t>
            </w:r>
            <w:r w:rsidR="0047685D" w:rsidRPr="001243A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BD582D7" w14:textId="0C80D1DC" w:rsidR="00613661" w:rsidRPr="000075E0" w:rsidRDefault="00613661" w:rsidP="000075E0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13661">
              <w:rPr>
                <w:rFonts w:eastAsia="Calibri"/>
                <w:sz w:val="20"/>
                <w:szCs w:val="20"/>
                <w:lang w:eastAsia="en-US"/>
              </w:rPr>
              <w:t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20 т, при количестве труб в плети 1 и более через автодорогу со стоимостью материала (труба ПЭ</w:t>
            </w:r>
            <w:r w:rsidR="00CF1D27">
              <w:rPr>
                <w:rFonts w:eastAsia="Calibri"/>
                <w:sz w:val="20"/>
                <w:szCs w:val="20"/>
                <w:lang w:eastAsia="en-US"/>
              </w:rPr>
              <w:t xml:space="preserve"> 100 </w:t>
            </w:r>
            <w:r w:rsidRPr="0061366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SDR____),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два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трубоканала</w:t>
            </w:r>
            <w:proofErr w:type="spellEnd"/>
          </w:p>
        </w:tc>
        <w:tc>
          <w:tcPr>
            <w:tcW w:w="1176" w:type="dxa"/>
            <w:vAlign w:val="center"/>
          </w:tcPr>
          <w:p w14:paraId="59093DB5" w14:textId="2C12FA06" w:rsidR="000075E0" w:rsidRPr="000075E0" w:rsidRDefault="00613661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912D28" w14:textId="2276BDB2" w:rsidR="000075E0" w:rsidRPr="000075E0" w:rsidRDefault="00613661" w:rsidP="000075E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613661" w:rsidRPr="006E10B7" w14:paraId="198AE607" w14:textId="77777777" w:rsidTr="00164647">
        <w:trPr>
          <w:trHeight w:val="477"/>
        </w:trPr>
        <w:tc>
          <w:tcPr>
            <w:tcW w:w="513" w:type="dxa"/>
          </w:tcPr>
          <w:p w14:paraId="2F29CA40" w14:textId="00A76B65" w:rsidR="00613661" w:rsidRPr="006E10B7" w:rsidRDefault="00613661" w:rsidP="0061366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8" w:type="dxa"/>
          </w:tcPr>
          <w:p w14:paraId="7140D196" w14:textId="480A6423" w:rsidR="00613661" w:rsidRPr="001243A8" w:rsidRDefault="00613661" w:rsidP="00613661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>Работы по бурению горизонтальных каналов для прокладки кабелей или дренажных труб</w:t>
            </w:r>
          </w:p>
        </w:tc>
        <w:tc>
          <w:tcPr>
            <w:tcW w:w="3827" w:type="dxa"/>
            <w:vAlign w:val="center"/>
          </w:tcPr>
          <w:p w14:paraId="5EB56D9D" w14:textId="57F07998" w:rsidR="00613661" w:rsidRPr="00613661" w:rsidRDefault="00613661" w:rsidP="00613661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13661">
              <w:rPr>
                <w:rFonts w:eastAsia="Calibri"/>
                <w:sz w:val="20"/>
                <w:szCs w:val="20"/>
                <w:lang w:eastAsia="en-US"/>
              </w:rPr>
              <w:t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20 т, при количестве труб в плети 1 и более через автодорогу со стоимостью материала (труба ПЭ</w:t>
            </w:r>
            <w:r w:rsidR="00CF1D27">
              <w:rPr>
                <w:rFonts w:eastAsia="Calibri"/>
                <w:sz w:val="20"/>
                <w:szCs w:val="20"/>
                <w:lang w:eastAsia="en-US"/>
              </w:rPr>
              <w:t xml:space="preserve"> 100 </w:t>
            </w:r>
            <w:r w:rsidRPr="0061366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SDR____),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два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трубоканала</w:t>
            </w:r>
            <w:proofErr w:type="spellEnd"/>
          </w:p>
        </w:tc>
        <w:tc>
          <w:tcPr>
            <w:tcW w:w="1176" w:type="dxa"/>
            <w:vAlign w:val="center"/>
          </w:tcPr>
          <w:p w14:paraId="713AFF44" w14:textId="76C02696" w:rsidR="00613661" w:rsidRDefault="00613661" w:rsidP="006136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F5FCEBB" w14:textId="0F041D7E" w:rsidR="00613661" w:rsidRDefault="00613661" w:rsidP="006136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bookmarkEnd w:id="2"/>
      <w:bookmarkEnd w:id="3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33E2CCE8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B7626A" w:rsidRPr="00B7626A">
        <w:t xml:space="preserve"> </w:t>
      </w:r>
      <w:r w:rsidR="00B7626A" w:rsidRPr="00B7626A">
        <w:rPr>
          <w:color w:val="0000FF"/>
          <w:u w:val="single"/>
        </w:rPr>
        <w:t>в</w:t>
      </w:r>
      <w:r w:rsidR="000075E0" w:rsidRPr="000075E0">
        <w:rPr>
          <w:color w:val="0000FF"/>
          <w:u w:val="single"/>
        </w:rPr>
        <w:t xml:space="preserve"> течение </w:t>
      </w:r>
      <w:r w:rsidR="00833E4E">
        <w:rPr>
          <w:color w:val="0000FF"/>
          <w:u w:val="single"/>
        </w:rPr>
        <w:t>1</w:t>
      </w:r>
      <w:r w:rsidR="000075E0" w:rsidRPr="000075E0">
        <w:rPr>
          <w:color w:val="0000FF"/>
          <w:u w:val="single"/>
        </w:rPr>
        <w:t xml:space="preserve">0 календарных дней с </w:t>
      </w:r>
      <w:r w:rsidR="003A341F" w:rsidRPr="003A341F">
        <w:rPr>
          <w:color w:val="0000FF"/>
          <w:u w:val="single"/>
        </w:rPr>
        <w:t xml:space="preserve">даты </w:t>
      </w:r>
      <w:r w:rsidR="000075E0" w:rsidRPr="000075E0">
        <w:rPr>
          <w:color w:val="0000FF"/>
          <w:u w:val="single"/>
        </w:rPr>
        <w:t>заключения Договора.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582763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164647">
        <w:rPr>
          <w:b/>
          <w:bCs/>
        </w:rPr>
        <w:t>:</w:t>
      </w:r>
      <w:r w:rsidR="009A6FA5" w:rsidRPr="00164647">
        <w:rPr>
          <w:spacing w:val="3"/>
          <w:kern w:val="1"/>
          <w:sz w:val="22"/>
          <w:szCs w:val="22"/>
          <w:lang w:eastAsia="ar-SA"/>
        </w:rPr>
        <w:t xml:space="preserve"> </w:t>
      </w:r>
      <w:r w:rsidR="009A6FA5" w:rsidRPr="009A6FA5">
        <w:rPr>
          <w:color w:val="0000FF"/>
          <w:spacing w:val="3"/>
          <w:kern w:val="1"/>
          <w:sz w:val="22"/>
          <w:szCs w:val="22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78C7D6AD" w14:textId="34C09182" w:rsidR="00B86A46" w:rsidRPr="000075E0" w:rsidRDefault="00BF6B7B" w:rsidP="001A4993">
      <w:pPr>
        <w:tabs>
          <w:tab w:val="left" w:pos="709"/>
        </w:tabs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075E0">
        <w:rPr>
          <w:bCs/>
          <w:color w:val="0000FF"/>
          <w:u w:val="single"/>
        </w:rPr>
        <w:t xml:space="preserve">НМЦД </w:t>
      </w:r>
      <w:r w:rsidR="00FF29AA" w:rsidRPr="000075E0">
        <w:rPr>
          <w:bCs/>
          <w:color w:val="0000FF"/>
          <w:u w:val="single"/>
        </w:rPr>
        <w:t xml:space="preserve">составляет </w:t>
      </w:r>
      <w:r w:rsidR="009A6FA5" w:rsidRPr="009A6FA5">
        <w:rPr>
          <w:bCs/>
          <w:color w:val="0000FF"/>
          <w:u w:val="single"/>
        </w:rPr>
        <w:t>700 000,00 рублей (семьсот тысяч рублей 00 копеек).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lastRenderedPageBreak/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73C4FFA0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FF4041">
        <w:rPr>
          <w:color w:val="2255E6"/>
          <w:highlight w:val="yellow"/>
        </w:rPr>
        <w:t>«</w:t>
      </w:r>
      <w:r w:rsidR="009A6FA5">
        <w:rPr>
          <w:color w:val="2255E6"/>
          <w:highlight w:val="yellow"/>
        </w:rPr>
        <w:t>2</w:t>
      </w:r>
      <w:r w:rsidR="00F26A6A">
        <w:rPr>
          <w:color w:val="2255E6"/>
          <w:highlight w:val="yellow"/>
        </w:rPr>
        <w:t>5</w:t>
      </w:r>
      <w:r w:rsidRPr="00FF4041">
        <w:rPr>
          <w:color w:val="2255E6"/>
          <w:highlight w:val="yellow"/>
        </w:rPr>
        <w:t xml:space="preserve">» </w:t>
      </w:r>
      <w:r w:rsidR="000075E0">
        <w:rPr>
          <w:color w:val="2255E6"/>
          <w:highlight w:val="yellow"/>
        </w:rPr>
        <w:t>июня</w:t>
      </w:r>
      <w:r w:rsidRPr="00FF4041">
        <w:rPr>
          <w:color w:val="2255E6"/>
          <w:highlight w:val="yellow"/>
        </w:rPr>
        <w:t xml:space="preserve"> </w:t>
      </w:r>
      <w:r w:rsidRPr="00FF4041">
        <w:rPr>
          <w:highlight w:val="yellow"/>
        </w:rPr>
        <w:t>20</w:t>
      </w:r>
      <w:r w:rsidR="00FD56BE" w:rsidRPr="00FF4041">
        <w:rPr>
          <w:highlight w:val="yellow"/>
        </w:rPr>
        <w:t>24</w:t>
      </w:r>
      <w:r w:rsidRPr="00FF4041">
        <w:rPr>
          <w:highlight w:val="yellow"/>
        </w:rPr>
        <w:t>г., по</w:t>
      </w:r>
      <w:r w:rsidRPr="00582763">
        <w:t xml:space="preserve">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746E6072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F26A6A">
        <w:rPr>
          <w:color w:val="2255E6"/>
          <w:highlight w:val="yellow"/>
        </w:rPr>
        <w:t>02</w:t>
      </w:r>
      <w:r w:rsidRPr="001A4993">
        <w:rPr>
          <w:color w:val="2255E6"/>
          <w:highlight w:val="yellow"/>
        </w:rPr>
        <w:t xml:space="preserve">» </w:t>
      </w:r>
      <w:r w:rsidR="001A4993" w:rsidRPr="001A4993">
        <w:rPr>
          <w:color w:val="2255E6"/>
          <w:highlight w:val="yellow"/>
        </w:rPr>
        <w:t>ию</w:t>
      </w:r>
      <w:r w:rsidR="00F26A6A">
        <w:rPr>
          <w:color w:val="2255E6"/>
          <w:highlight w:val="yellow"/>
        </w:rPr>
        <w:t>л</w:t>
      </w:r>
      <w:r w:rsidR="001A4993" w:rsidRPr="001A4993">
        <w:rPr>
          <w:color w:val="2255E6"/>
          <w:highlight w:val="yellow"/>
        </w:rPr>
        <w:t>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5108170E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F26A6A">
        <w:rPr>
          <w:color w:val="2255E6"/>
          <w:highlight w:val="yellow"/>
        </w:rPr>
        <w:t>02</w:t>
      </w:r>
      <w:r w:rsidRPr="001A4993">
        <w:rPr>
          <w:color w:val="2255E6"/>
          <w:highlight w:val="yellow"/>
        </w:rPr>
        <w:t xml:space="preserve">» </w:t>
      </w:r>
      <w:r w:rsidR="001A4993" w:rsidRPr="001A4993">
        <w:rPr>
          <w:color w:val="2255E6"/>
          <w:highlight w:val="yellow"/>
        </w:rPr>
        <w:t>ию</w:t>
      </w:r>
      <w:r w:rsidR="00F26A6A">
        <w:rPr>
          <w:color w:val="2255E6"/>
          <w:highlight w:val="yellow"/>
        </w:rPr>
        <w:t>л</w:t>
      </w:r>
      <w:r w:rsidR="001A4993" w:rsidRPr="001A4993">
        <w:rPr>
          <w:color w:val="2255E6"/>
          <w:highlight w:val="yellow"/>
        </w:rPr>
        <w:t>я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4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4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272D804" w:rsidR="00331314" w:rsidRPr="00331314" w:rsidRDefault="004B230B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И.о</w:t>
      </w:r>
      <w:proofErr w:type="spellEnd"/>
      <w:r>
        <w:rPr>
          <w:rFonts w:eastAsia="Calibri"/>
          <w:b/>
          <w:lang w:eastAsia="en-US"/>
        </w:rPr>
        <w:t>. 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ого</w:t>
      </w:r>
      <w:r w:rsidR="00331314" w:rsidRPr="00331314">
        <w:rPr>
          <w:rFonts w:eastAsia="Calibri"/>
          <w:b/>
          <w:lang w:eastAsia="en-US"/>
        </w:rPr>
        <w:t xml:space="preserve"> инженер</w:t>
      </w:r>
      <w:r>
        <w:rPr>
          <w:rFonts w:eastAsia="Calibri"/>
          <w:b/>
          <w:lang w:eastAsia="en-US"/>
        </w:rPr>
        <w:t>а</w:t>
      </w:r>
      <w:r w:rsidR="00331314" w:rsidRPr="00331314">
        <w:rPr>
          <w:rFonts w:eastAsia="Calibri"/>
          <w:b/>
          <w:lang w:eastAsia="en-US"/>
        </w:rPr>
        <w:t xml:space="preserve">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09CC9710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311C70">
        <w:rPr>
          <w:rFonts w:eastAsia="Calibri"/>
          <w:color w:val="0000FF"/>
          <w:lang w:eastAsia="en-US"/>
        </w:rPr>
        <w:t>Приказ №</w:t>
      </w:r>
      <w:r w:rsidR="00F26A6A" w:rsidRPr="00F26A6A">
        <w:rPr>
          <w:rFonts w:eastAsia="Calibri"/>
          <w:color w:val="0000FF"/>
          <w:lang w:eastAsia="en-US"/>
        </w:rPr>
        <w:t>105</w:t>
      </w:r>
      <w:r w:rsidRPr="00F26A6A">
        <w:rPr>
          <w:rFonts w:eastAsia="Calibri"/>
          <w:color w:val="0000FF"/>
          <w:lang w:eastAsia="en-US"/>
        </w:rPr>
        <w:t>-</w:t>
      </w:r>
      <w:r w:rsidR="00F26A6A" w:rsidRPr="00F26A6A">
        <w:rPr>
          <w:rFonts w:eastAsia="Calibri"/>
          <w:color w:val="0000FF"/>
          <w:lang w:eastAsia="en-US"/>
        </w:rPr>
        <w:t>4</w:t>
      </w:r>
      <w:r w:rsidRPr="00F26A6A">
        <w:rPr>
          <w:rFonts w:eastAsia="Calibri"/>
          <w:color w:val="0000FF"/>
          <w:lang w:eastAsia="en-US"/>
        </w:rPr>
        <w:t>/2</w:t>
      </w:r>
      <w:r w:rsidRPr="00311C70">
        <w:rPr>
          <w:rFonts w:eastAsia="Calibri"/>
          <w:color w:val="0000FF"/>
          <w:lang w:eastAsia="en-US"/>
        </w:rPr>
        <w:t xml:space="preserve"> от </w:t>
      </w:r>
      <w:r w:rsidR="004B230B">
        <w:rPr>
          <w:rFonts w:eastAsia="Calibri"/>
          <w:color w:val="0000FF"/>
          <w:lang w:eastAsia="en-US"/>
        </w:rPr>
        <w:t>2</w:t>
      </w:r>
      <w:r w:rsidR="00F26A6A">
        <w:rPr>
          <w:rFonts w:eastAsia="Calibri"/>
          <w:color w:val="0000FF"/>
          <w:lang w:eastAsia="en-US"/>
        </w:rPr>
        <w:t>5</w:t>
      </w:r>
      <w:r w:rsidRPr="00311C70">
        <w:rPr>
          <w:rFonts w:eastAsia="Calibri"/>
          <w:color w:val="0000FF"/>
          <w:lang w:eastAsia="en-US"/>
        </w:rPr>
        <w:t>.0</w:t>
      </w:r>
      <w:r w:rsidR="001A4993">
        <w:rPr>
          <w:rFonts w:eastAsia="Calibri"/>
          <w:color w:val="0000FF"/>
          <w:lang w:eastAsia="en-US"/>
        </w:rPr>
        <w:t>6</w:t>
      </w:r>
      <w:r w:rsidRPr="00311C70">
        <w:rPr>
          <w:rFonts w:eastAsia="Calibri"/>
          <w:color w:val="0000FF"/>
          <w:lang w:eastAsia="en-US"/>
        </w:rPr>
        <w:t>.</w:t>
      </w:r>
      <w:r w:rsidR="00036179" w:rsidRPr="00311C70">
        <w:rPr>
          <w:rFonts w:eastAsia="Calibri"/>
          <w:color w:val="0000FF"/>
          <w:lang w:eastAsia="en-US"/>
        </w:rPr>
        <w:t>20</w:t>
      </w:r>
      <w:r w:rsidR="00331314" w:rsidRPr="00311C70">
        <w:rPr>
          <w:rFonts w:eastAsia="Calibri"/>
          <w:color w:val="0000FF"/>
          <w:lang w:eastAsia="en-US"/>
        </w:rPr>
        <w:t>24</w:t>
      </w:r>
      <w:r w:rsidR="00036179" w:rsidRPr="00311C70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7236CC92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860E6D8" w14:textId="77777777" w:rsidR="000B4C7F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968491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7C0DE1"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884DC90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E4FF6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C1E6D6E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658DF5E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A7DDACA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93F2F5A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80883D6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0B4C7F" w:rsidRPr="00946953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9B6710C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71BBE11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E574A72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5CFE111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2FA0126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ADC95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7BD0870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F96F06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1253E2D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CF2E12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3274DC4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5DF4141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72791" w14:textId="77777777" w:rsidR="000B4C7F" w:rsidRDefault="007C0DE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4" w:history="1">
            <w:r w:rsidR="000B4C7F" w:rsidRPr="00946953">
              <w:rPr>
                <w:rStyle w:val="a6"/>
                <w:iCs/>
                <w:noProof/>
                <w:lang w:eastAsia="en-US"/>
              </w:rPr>
              <w:t>21.1.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15AE0E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FC33AC2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FB1FF11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7" w:history="1">
            <w:r w:rsidR="000B4C7F" w:rsidRPr="00946953">
              <w:rPr>
                <w:rStyle w:val="a6"/>
                <w:noProof/>
              </w:rPr>
              <w:t>24. Техническое задание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92F9CE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3862A61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9" w:history="1">
            <w:r w:rsidR="000B4C7F" w:rsidRPr="00946953">
              <w:rPr>
                <w:rStyle w:val="a6"/>
                <w:rFonts w:eastAsia="Calibri"/>
                <w:noProof/>
              </w:rPr>
              <w:t>1. ПРЕДМЕТ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D149D36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0" w:history="1">
            <w:r w:rsidR="000B4C7F" w:rsidRPr="00946953">
              <w:rPr>
                <w:rStyle w:val="a6"/>
                <w:rFonts w:eastAsia="Calibri"/>
                <w:noProof/>
              </w:rPr>
              <w:t>2. СРОКИ ВЫПОЛНЕНИЯ РАБОТ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ADFEF84" w14:textId="77777777" w:rsidR="000B4C7F" w:rsidRDefault="007C0DE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1" w:history="1">
            <w:r w:rsidR="000B4C7F" w:rsidRPr="00946953">
              <w:rPr>
                <w:rStyle w:val="a6"/>
                <w:rFonts w:eastAsia="Calibri"/>
                <w:noProof/>
              </w:rPr>
              <w:t>2.1.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Работы выполняются в течение 10 (десяти) календарных дней с даты заключения договора.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BF47F0E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2" w:history="1">
            <w:r w:rsidR="000B4C7F" w:rsidRPr="00946953">
              <w:rPr>
                <w:rStyle w:val="a6"/>
                <w:rFonts w:eastAsia="Calibri"/>
                <w:noProof/>
              </w:rPr>
              <w:t>2.2. Подрядчик по согласованию с Заказчиком может выполнить работы досрочно.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DBB2FB3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3" w:history="1">
            <w:r w:rsidR="000B4C7F" w:rsidRPr="00946953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121CA49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4" w:history="1">
            <w:r w:rsidR="000B4C7F" w:rsidRPr="00946953">
              <w:rPr>
                <w:rStyle w:val="a6"/>
                <w:rFonts w:eastAsia="Calibri"/>
                <w:noProof/>
              </w:rPr>
              <w:t>4. ПРАВА И ОБЯЗАННОСТИ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85A0759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5" w:history="1">
            <w:r w:rsidR="000B4C7F" w:rsidRPr="00946953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896FC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6" w:history="1">
            <w:r w:rsidR="000B4C7F" w:rsidRPr="00946953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024F71F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7" w:history="1">
            <w:r w:rsidR="000B4C7F" w:rsidRPr="00946953">
              <w:rPr>
                <w:rStyle w:val="a6"/>
                <w:noProof/>
              </w:rPr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529353C" w14:textId="77777777" w:rsidR="000B4C7F" w:rsidRDefault="007C0DE1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8" w:history="1">
            <w:r w:rsidR="000B4C7F" w:rsidRPr="00946953">
              <w:rPr>
                <w:rStyle w:val="a6"/>
                <w:rFonts w:eastAsia="Calibri"/>
                <w:noProof/>
              </w:rPr>
              <w:t>8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8EBF185" w14:textId="77777777" w:rsidR="000B4C7F" w:rsidRDefault="007C0DE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9" w:history="1">
            <w:r w:rsidR="000B4C7F" w:rsidRPr="00946953">
              <w:rPr>
                <w:rStyle w:val="a6"/>
                <w:rFonts w:eastAsia="Calibri"/>
                <w:noProof/>
              </w:rPr>
              <w:t>8.1.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E9D7A65" w14:textId="77777777" w:rsidR="000B4C7F" w:rsidRDefault="007C0DE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0" w:history="1">
            <w:r w:rsidR="000B4C7F" w:rsidRPr="00946953">
              <w:rPr>
                <w:rStyle w:val="a6"/>
                <w:rFonts w:eastAsia="Calibri"/>
                <w:noProof/>
              </w:rPr>
              <w:t>8.2.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6D50EE" w14:textId="77777777" w:rsidR="000B4C7F" w:rsidRDefault="007C0DE1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1" w:history="1">
            <w:r w:rsidR="000B4C7F" w:rsidRPr="00946953">
              <w:rPr>
                <w:rStyle w:val="a6"/>
                <w:rFonts w:eastAsia="Calibri"/>
                <w:noProof/>
              </w:rPr>
              <w:t>9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EC684F1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2" w:history="1">
            <w:r w:rsidR="000B4C7F" w:rsidRPr="00946953">
              <w:rPr>
                <w:rStyle w:val="a6"/>
                <w:rFonts w:eastAsia="Calibri"/>
                <w:noProof/>
              </w:rPr>
              <w:t>11. ПРОЧИЕ УСЛОВИЯ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0E6DA27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3" w:history="1">
            <w:r w:rsidR="000B4C7F" w:rsidRPr="00946953">
              <w:rPr>
                <w:rStyle w:val="a6"/>
                <w:noProof/>
              </w:rPr>
              <w:t>12. АДРЕСА, РЕКВИЗИТЫ И ПОДПИСИ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34C0ABE" w14:textId="77777777" w:rsidR="000B4C7F" w:rsidRDefault="007C0DE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4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7450F89" w14:textId="77777777" w:rsidR="000B4C7F" w:rsidRDefault="007C0DE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5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F71E5EB" w14:textId="77777777" w:rsidR="000B4C7F" w:rsidRDefault="007C0DE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6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F8E389F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E1EF3D8" w14:textId="77777777" w:rsidR="000B4C7F" w:rsidRDefault="007C0DE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6" w:name="_Toc169684914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6"/>
      <w:bookmarkEnd w:id="5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" w:name="_Toc20224393"/>
      <w:bookmarkStart w:id="8" w:name="_Toc20252623"/>
      <w:bookmarkStart w:id="9" w:name="_Toc169684915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7"/>
      <w:bookmarkEnd w:id="8"/>
      <w:bookmarkEnd w:id="9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" w:name="_Toc536447330"/>
      <w:bookmarkStart w:id="11" w:name="_Toc20224394"/>
      <w:bookmarkStart w:id="12" w:name="_Toc20252624"/>
      <w:bookmarkStart w:id="13" w:name="_Toc169684916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0"/>
      <w:bookmarkEnd w:id="11"/>
      <w:bookmarkEnd w:id="12"/>
      <w:bookmarkEnd w:id="13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4" w:name="_Toc536447331"/>
      <w:bookmarkStart w:id="15" w:name="_Toc20224395"/>
      <w:bookmarkStart w:id="16" w:name="_Toc20252625"/>
      <w:bookmarkStart w:id="17" w:name="_Toc169684917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4"/>
      <w:bookmarkEnd w:id="15"/>
      <w:bookmarkEnd w:id="16"/>
      <w:bookmarkEnd w:id="17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8" w:name="_Toc20224396"/>
      <w:bookmarkStart w:id="19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0" w:name="_Toc169684918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8"/>
      <w:bookmarkEnd w:id="19"/>
      <w:bookmarkEnd w:id="20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1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33"/>
      <w:r w:rsidRPr="00582763">
        <w:rPr>
          <w:bCs/>
        </w:rPr>
        <w:t>не отзывать поданную заявку, изменив ее (при желании).</w:t>
      </w:r>
      <w:bookmarkEnd w:id="22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3" w:name="_Toc536447333"/>
      <w:bookmarkStart w:id="24" w:name="_Toc20224397"/>
      <w:bookmarkStart w:id="25" w:name="_Toc20252627"/>
      <w:bookmarkStart w:id="26" w:name="_Toc169684919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3"/>
      <w:bookmarkEnd w:id="24"/>
      <w:bookmarkEnd w:id="25"/>
      <w:bookmarkEnd w:id="26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7" w:name="_Toc536447334"/>
      <w:bookmarkStart w:id="28" w:name="_Toc20224398"/>
      <w:bookmarkStart w:id="29" w:name="_Toc20252628"/>
      <w:bookmarkStart w:id="30" w:name="_Toc169684920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7"/>
      <w:bookmarkEnd w:id="28"/>
      <w:bookmarkEnd w:id="29"/>
      <w:bookmarkEnd w:id="30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1" w:name="_Toc536447335"/>
      <w:bookmarkStart w:id="32" w:name="_Toc20224399"/>
      <w:bookmarkStart w:id="33" w:name="_Toc20252629"/>
      <w:bookmarkStart w:id="34" w:name="_Toc169684921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1"/>
      <w:bookmarkEnd w:id="32"/>
      <w:bookmarkEnd w:id="33"/>
      <w:bookmarkEnd w:id="34"/>
    </w:p>
    <w:p w14:paraId="566BC93D" w14:textId="77777777" w:rsidR="004B230B" w:rsidRPr="004B230B" w:rsidRDefault="005E040A" w:rsidP="004B230B">
      <w:pPr>
        <w:pStyle w:val="23"/>
        <w:spacing w:after="0" w:line="240" w:lineRule="auto"/>
        <w:ind w:left="0" w:firstLine="567"/>
        <w:jc w:val="both"/>
        <w:rPr>
          <w:rStyle w:val="122"/>
          <w:b/>
          <w:color w:val="0000FF"/>
          <w:sz w:val="22"/>
          <w:szCs w:val="22"/>
          <w:lang w:val="ru-RU"/>
        </w:rPr>
      </w:pPr>
      <w:bookmarkStart w:id="35" w:name="_Toc536447336"/>
      <w:bookmarkStart w:id="36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4B230B" w:rsidRPr="004B230B">
        <w:rPr>
          <w:rStyle w:val="122"/>
          <w:b/>
          <w:color w:val="0000FF"/>
          <w:sz w:val="22"/>
          <w:szCs w:val="22"/>
          <w:lang w:val="ru-RU"/>
        </w:rPr>
        <w:t>700</w:t>
      </w:r>
      <w:r w:rsidR="004B230B" w:rsidRPr="004B230B">
        <w:rPr>
          <w:rStyle w:val="122"/>
          <w:b/>
          <w:color w:val="0000FF"/>
          <w:sz w:val="22"/>
          <w:szCs w:val="22"/>
        </w:rPr>
        <w:t> </w:t>
      </w:r>
      <w:r w:rsidR="004B230B" w:rsidRPr="004B230B">
        <w:rPr>
          <w:rStyle w:val="122"/>
          <w:b/>
          <w:color w:val="0000FF"/>
          <w:sz w:val="22"/>
          <w:szCs w:val="22"/>
          <w:lang w:val="ru-RU"/>
        </w:rPr>
        <w:t>000,00 рублей (семьсот тысяч рублей 00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B230B" w:rsidRPr="00C847DC" w14:paraId="270F2322" w14:textId="77777777" w:rsidTr="000B4C7F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4B230B" w:rsidRPr="00C847DC" w:rsidRDefault="004B230B" w:rsidP="004B230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ECDD" w14:textId="09E795BB" w:rsidR="004B230B" w:rsidRPr="00FE3ADE" w:rsidRDefault="004B230B" w:rsidP="00CF1D27">
            <w:pPr>
              <w:rPr>
                <w:sz w:val="18"/>
                <w:szCs w:val="18"/>
              </w:rPr>
            </w:pPr>
            <w:r w:rsidRPr="00FE3ADE">
              <w:rPr>
                <w:sz w:val="18"/>
                <w:szCs w:val="18"/>
              </w:rPr>
              <w:t xml:space="preserve">Прокладка футляра из полиэтиленовой трубы </w:t>
            </w:r>
            <w:r w:rsidRPr="00FE3ADE">
              <w:rPr>
                <w:sz w:val="18"/>
                <w:szCs w:val="18"/>
                <w:highlight w:val="yellow"/>
              </w:rPr>
              <w:t>диаметром 160 мм плетью</w:t>
            </w:r>
            <w:r w:rsidRPr="00FE3ADE">
              <w:rPr>
                <w:sz w:val="18"/>
                <w:szCs w:val="18"/>
              </w:rPr>
              <w:t xml:space="preserve"> с применением установок горизонтально-направленного бурения с тяговым усилением не менее 20 т, при количестве труб в плети 1 и более через автодорогу со стоимостью материала </w:t>
            </w:r>
            <w:r w:rsidRPr="00CF1D27">
              <w:rPr>
                <w:sz w:val="18"/>
                <w:szCs w:val="18"/>
                <w:highlight w:val="yellow"/>
              </w:rPr>
              <w:t>(труба ПЭ</w:t>
            </w:r>
            <w:r w:rsidR="00CF1D27" w:rsidRPr="00CF1D27">
              <w:rPr>
                <w:sz w:val="18"/>
                <w:szCs w:val="18"/>
                <w:highlight w:val="yellow"/>
              </w:rPr>
              <w:t xml:space="preserve"> </w:t>
            </w:r>
            <w:r w:rsidRPr="00CF1D27">
              <w:rPr>
                <w:sz w:val="18"/>
                <w:szCs w:val="18"/>
                <w:highlight w:val="yellow"/>
              </w:rPr>
              <w:t>100</w:t>
            </w:r>
            <w:r w:rsidR="00CF1D27" w:rsidRPr="00CF1D27">
              <w:rPr>
                <w:sz w:val="18"/>
                <w:szCs w:val="18"/>
                <w:highlight w:val="yellow"/>
              </w:rPr>
              <w:t xml:space="preserve"> </w:t>
            </w:r>
            <w:r w:rsidRPr="00CF1D27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CF1D27">
              <w:rPr>
                <w:sz w:val="18"/>
                <w:szCs w:val="18"/>
                <w:highlight w:val="yellow"/>
              </w:rPr>
              <w:t>____)</w:t>
            </w:r>
            <w:r w:rsidRPr="00FE3AD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22405E62" w:rsidR="004B230B" w:rsidRPr="00C847DC" w:rsidRDefault="004B230B" w:rsidP="004B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1A718CFA" w:rsidR="004B230B" w:rsidRPr="00C847DC" w:rsidRDefault="004B230B" w:rsidP="004B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5AE" w14:textId="113A0F37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sz w:val="22"/>
                <w:szCs w:val="22"/>
              </w:rPr>
              <w:t>7 000,00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BBA" w14:textId="7B6673E3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sz w:val="22"/>
                <w:szCs w:val="22"/>
              </w:rPr>
              <w:t>6700,00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67" w14:textId="2478D389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sz w:val="22"/>
                <w:szCs w:val="22"/>
              </w:rPr>
              <w:t>7300,00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4A580337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2D8023A8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27E4B33B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color w:val="000000"/>
                <w:sz w:val="22"/>
                <w:szCs w:val="22"/>
              </w:rPr>
              <w:t>4,29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0BBCB80D" w:rsidR="004B230B" w:rsidRPr="00727749" w:rsidRDefault="004B230B" w:rsidP="004B230B">
            <w:pPr>
              <w:jc w:val="center"/>
              <w:rPr>
                <w:color w:val="000000"/>
                <w:sz w:val="22"/>
                <w:szCs w:val="22"/>
              </w:rPr>
            </w:pPr>
            <w:r w:rsidRPr="006F1463">
              <w:rPr>
                <w:color w:val="000000"/>
                <w:sz w:val="22"/>
                <w:szCs w:val="22"/>
              </w:rPr>
              <w:t>560 000,00</w:t>
            </w:r>
          </w:p>
        </w:tc>
      </w:tr>
      <w:tr w:rsidR="004B230B" w:rsidRPr="00C847DC" w14:paraId="0CD01E9D" w14:textId="77777777" w:rsidTr="000B4C7F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2144" w14:textId="5FD26D85" w:rsidR="004B230B" w:rsidRPr="00C847DC" w:rsidRDefault="004B230B" w:rsidP="004B230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3062" w14:textId="6505EDAB" w:rsidR="004B230B" w:rsidRPr="00FE3ADE" w:rsidRDefault="004B230B" w:rsidP="004B230B">
            <w:pPr>
              <w:rPr>
                <w:sz w:val="18"/>
                <w:szCs w:val="18"/>
              </w:rPr>
            </w:pPr>
            <w:r w:rsidRPr="00FE3ADE">
              <w:rPr>
                <w:sz w:val="18"/>
                <w:szCs w:val="18"/>
              </w:rPr>
              <w:t xml:space="preserve">Прокладка футляра из полиэтиленовой трубы </w:t>
            </w:r>
            <w:r w:rsidRPr="00FE3ADE">
              <w:rPr>
                <w:sz w:val="18"/>
                <w:szCs w:val="18"/>
                <w:highlight w:val="yellow"/>
              </w:rPr>
              <w:t>диаметром 160 мм плетью</w:t>
            </w:r>
            <w:r w:rsidRPr="00FE3ADE">
              <w:rPr>
                <w:sz w:val="18"/>
                <w:szCs w:val="18"/>
              </w:rPr>
              <w:t xml:space="preserve"> с применением установок горизонтально-направленного бурения с тяговым усилением не менее 20 т, при количестве труб в плети 1 и более через автодорогу со стоимостью материала </w:t>
            </w:r>
            <w:r w:rsidRPr="00CF1D27">
              <w:rPr>
                <w:sz w:val="18"/>
                <w:szCs w:val="18"/>
                <w:highlight w:val="yellow"/>
              </w:rPr>
              <w:t>(труба ПЭ</w:t>
            </w:r>
            <w:r w:rsidR="00CF1D27" w:rsidRPr="00CF1D27">
              <w:rPr>
                <w:sz w:val="18"/>
                <w:szCs w:val="18"/>
                <w:highlight w:val="yellow"/>
              </w:rPr>
              <w:t xml:space="preserve"> 100 </w:t>
            </w:r>
            <w:r w:rsidRPr="00CF1D27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CF1D27">
              <w:rPr>
                <w:sz w:val="18"/>
                <w:szCs w:val="18"/>
                <w:highlight w:val="yellow"/>
              </w:rPr>
              <w:t>____)</w:t>
            </w:r>
            <w:r w:rsidRPr="00FE3AD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AB0" w14:textId="7073AC29" w:rsidR="004B230B" w:rsidRPr="00C847DC" w:rsidRDefault="004B230B" w:rsidP="004B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866C" w14:textId="20A0945C" w:rsidR="004B230B" w:rsidRDefault="004B230B" w:rsidP="004B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CED4" w14:textId="4B6863D0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sz w:val="22"/>
                <w:szCs w:val="22"/>
              </w:rPr>
              <w:t>7 000,00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5C95" w14:textId="7ECA0CF5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sz w:val="22"/>
                <w:szCs w:val="22"/>
              </w:rPr>
              <w:t>6700,00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7122" w14:textId="28601083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sz w:val="22"/>
                <w:szCs w:val="22"/>
              </w:rPr>
              <w:t>7300,00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740" w14:textId="08662EA9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25A6" w14:textId="5318BE4B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0B26" w14:textId="77492639" w:rsidR="004B230B" w:rsidRPr="00AF46A9" w:rsidRDefault="004B230B" w:rsidP="004B230B">
            <w:pPr>
              <w:jc w:val="center"/>
              <w:rPr>
                <w:color w:val="000000"/>
                <w:sz w:val="20"/>
                <w:szCs w:val="20"/>
              </w:rPr>
            </w:pPr>
            <w:r w:rsidRPr="006F1463">
              <w:rPr>
                <w:color w:val="000000"/>
                <w:sz w:val="22"/>
                <w:szCs w:val="22"/>
              </w:rPr>
              <w:t>4,29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9356" w14:textId="4C4C56E3" w:rsidR="004B230B" w:rsidRPr="00727749" w:rsidRDefault="004B230B" w:rsidP="004B230B">
            <w:pPr>
              <w:jc w:val="center"/>
              <w:rPr>
                <w:color w:val="000000"/>
                <w:sz w:val="22"/>
                <w:szCs w:val="22"/>
              </w:rPr>
            </w:pPr>
            <w:r w:rsidRPr="006F1463">
              <w:rPr>
                <w:color w:val="000000"/>
                <w:sz w:val="22"/>
                <w:szCs w:val="22"/>
              </w:rPr>
              <w:t>140 000,00</w:t>
            </w:r>
          </w:p>
        </w:tc>
      </w:tr>
      <w:tr w:rsidR="004B230B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4EADA7D3" w:rsidR="004B230B" w:rsidRPr="00C847DC" w:rsidRDefault="004B230B" w:rsidP="00B6110A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 w:rsidR="00B6110A">
              <w:rPr>
                <w:b/>
                <w:bCs/>
                <w:sz w:val="20"/>
                <w:szCs w:val="20"/>
              </w:rPr>
              <w:t>договора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18AEA790" w:rsidR="004B230B" w:rsidRPr="00727749" w:rsidRDefault="004B230B" w:rsidP="004B230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B230B">
              <w:rPr>
                <w:b/>
                <w:bCs/>
                <w:iCs/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759" w:type="dxa"/>
          </w:tcPr>
          <w:p w14:paraId="177CBA63" w14:textId="77777777" w:rsidR="004B230B" w:rsidRPr="00C847DC" w:rsidRDefault="004B230B" w:rsidP="004B230B"/>
        </w:tc>
        <w:tc>
          <w:tcPr>
            <w:tcW w:w="1759" w:type="dxa"/>
          </w:tcPr>
          <w:p w14:paraId="27071F90" w14:textId="77777777" w:rsidR="004B230B" w:rsidRPr="00C847DC" w:rsidRDefault="004B230B" w:rsidP="004B230B"/>
        </w:tc>
        <w:tc>
          <w:tcPr>
            <w:tcW w:w="1759" w:type="dxa"/>
          </w:tcPr>
          <w:p w14:paraId="5752A89C" w14:textId="77777777" w:rsidR="004B230B" w:rsidRPr="00C847DC" w:rsidRDefault="004B230B" w:rsidP="004B230B"/>
        </w:tc>
        <w:tc>
          <w:tcPr>
            <w:tcW w:w="1759" w:type="dxa"/>
          </w:tcPr>
          <w:p w14:paraId="191B4596" w14:textId="77777777" w:rsidR="004B230B" w:rsidRPr="00C847DC" w:rsidRDefault="004B230B" w:rsidP="004B230B"/>
        </w:tc>
        <w:tc>
          <w:tcPr>
            <w:tcW w:w="1759" w:type="dxa"/>
          </w:tcPr>
          <w:p w14:paraId="464947F6" w14:textId="77777777" w:rsidR="004B230B" w:rsidRPr="00C847DC" w:rsidRDefault="004B230B" w:rsidP="004B230B"/>
        </w:tc>
        <w:tc>
          <w:tcPr>
            <w:tcW w:w="1759" w:type="dxa"/>
          </w:tcPr>
          <w:p w14:paraId="045A7240" w14:textId="77777777" w:rsidR="004B230B" w:rsidRPr="00C847DC" w:rsidRDefault="004B230B" w:rsidP="004B230B"/>
        </w:tc>
        <w:tc>
          <w:tcPr>
            <w:tcW w:w="1759" w:type="dxa"/>
          </w:tcPr>
          <w:p w14:paraId="1CDDB87A" w14:textId="77777777" w:rsidR="004B230B" w:rsidRPr="00C847DC" w:rsidRDefault="004B230B" w:rsidP="004B230B"/>
        </w:tc>
        <w:tc>
          <w:tcPr>
            <w:tcW w:w="1759" w:type="dxa"/>
          </w:tcPr>
          <w:p w14:paraId="00FACEC8" w14:textId="77777777" w:rsidR="004B230B" w:rsidRPr="00C847DC" w:rsidRDefault="004B230B" w:rsidP="004B230B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4B230B" w:rsidRPr="00C847DC" w:rsidRDefault="004B230B" w:rsidP="004B230B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286C3DC6" w:rsidR="00341910" w:rsidRPr="00341910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sz w:val="20"/>
          <w:szCs w:val="20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4B230B" w:rsidRPr="004B230B">
        <w:rPr>
          <w:b/>
          <w:bCs/>
          <w:sz w:val="20"/>
          <w:szCs w:val="20"/>
        </w:rPr>
        <w:t>700 000,00 рублей (семьсот тысяч рублей 00 копеек)</w:t>
      </w:r>
    </w:p>
    <w:p w14:paraId="1ECFD9DE" w14:textId="69B1B32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7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169684922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5"/>
      <w:bookmarkEnd w:id="36"/>
      <w:bookmarkEnd w:id="37"/>
      <w:bookmarkEnd w:id="38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536447337"/>
      <w:bookmarkStart w:id="40" w:name="_Toc20224401"/>
      <w:bookmarkStart w:id="41" w:name="_Toc20252631"/>
      <w:bookmarkStart w:id="42" w:name="_Toc169684923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9"/>
      <w:bookmarkEnd w:id="40"/>
      <w:bookmarkEnd w:id="41"/>
      <w:bookmarkEnd w:id="42"/>
    </w:p>
    <w:p w14:paraId="6CB1D628" w14:textId="54248DB3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3" w:name="_Toc536447338"/>
      <w:bookmarkStart w:id="44" w:name="_Toc20224402"/>
      <w:bookmarkStart w:id="45" w:name="_Toc20252632"/>
      <w:bookmarkStart w:id="46" w:name="_Toc169684924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3"/>
      <w:bookmarkEnd w:id="44"/>
      <w:bookmarkEnd w:id="45"/>
      <w:bookmarkEnd w:id="46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7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7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493"/>
      <w:bookmarkEnd w:id="49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0" w:name="_Hlk76818843"/>
      <w:bookmarkEnd w:id="48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1" w:name="_Toc536447339"/>
      <w:bookmarkStart w:id="52" w:name="_Toc20224403"/>
      <w:bookmarkStart w:id="53" w:name="_Toc20252633"/>
      <w:bookmarkStart w:id="54" w:name="_Toc169684925"/>
      <w:bookmarkEnd w:id="50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1"/>
      <w:bookmarkEnd w:id="52"/>
      <w:bookmarkEnd w:id="53"/>
      <w:bookmarkEnd w:id="54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1BF39015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727749">
        <w:rPr>
          <w:color w:val="0000FF"/>
          <w:highlight w:val="yellow"/>
        </w:rPr>
        <w:t>«</w:t>
      </w:r>
      <w:r w:rsidR="00FE3ADE">
        <w:rPr>
          <w:color w:val="0000FF"/>
          <w:highlight w:val="yellow"/>
        </w:rPr>
        <w:t>2</w:t>
      </w:r>
      <w:r w:rsidR="00F26A6A">
        <w:rPr>
          <w:color w:val="0000FF"/>
          <w:highlight w:val="yellow"/>
        </w:rPr>
        <w:t>5</w:t>
      </w:r>
      <w:r w:rsidRPr="00727749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83513A" w:rsidRPr="0083513A">
        <w:rPr>
          <w:color w:val="0000FF"/>
          <w:highlight w:val="yellow"/>
        </w:rPr>
        <w:t>июня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7C0DE1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73EFBC05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7749">
        <w:rPr>
          <w:color w:val="0000FF"/>
          <w:highlight w:val="yellow"/>
        </w:rPr>
        <w:t>«</w:t>
      </w:r>
      <w:r w:rsidR="00F26A6A">
        <w:rPr>
          <w:color w:val="0000FF"/>
          <w:highlight w:val="yellow"/>
        </w:rPr>
        <w:t>02</w:t>
      </w:r>
      <w:r w:rsidRPr="00727749">
        <w:rPr>
          <w:color w:val="0000FF"/>
          <w:highlight w:val="yellow"/>
        </w:rPr>
        <w:t xml:space="preserve">» </w:t>
      </w:r>
      <w:r w:rsidR="0083513A" w:rsidRPr="0083513A">
        <w:rPr>
          <w:color w:val="0000FF"/>
          <w:highlight w:val="yellow"/>
        </w:rPr>
        <w:t>ию</w:t>
      </w:r>
      <w:r w:rsidR="00F26A6A">
        <w:rPr>
          <w:color w:val="0000FF"/>
          <w:highlight w:val="yellow"/>
        </w:rPr>
        <w:t>л</w:t>
      </w:r>
      <w:r w:rsidR="0083513A" w:rsidRPr="0083513A">
        <w:rPr>
          <w:color w:val="0000FF"/>
          <w:highlight w:val="yellow"/>
        </w:rPr>
        <w:t>я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70773110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A4533">
        <w:rPr>
          <w:color w:val="0000FF"/>
          <w:highlight w:val="yellow"/>
        </w:rPr>
        <w:t>«</w:t>
      </w:r>
      <w:r w:rsidR="00F26A6A">
        <w:rPr>
          <w:color w:val="0000FF"/>
          <w:highlight w:val="yellow"/>
        </w:rPr>
        <w:t>02</w:t>
      </w:r>
      <w:r w:rsidRPr="00AA4533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83513A" w:rsidRPr="0083513A">
        <w:rPr>
          <w:color w:val="0000FF"/>
          <w:highlight w:val="yellow"/>
        </w:rPr>
        <w:t>ию</w:t>
      </w:r>
      <w:r w:rsidR="00F26A6A">
        <w:rPr>
          <w:color w:val="0000FF"/>
          <w:highlight w:val="yellow"/>
        </w:rPr>
        <w:t>л</w:t>
      </w:r>
      <w:r w:rsidR="0083513A" w:rsidRPr="0083513A">
        <w:rPr>
          <w:color w:val="0000FF"/>
          <w:highlight w:val="yellow"/>
        </w:rPr>
        <w:t>я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5" w:name="_Toc536447340"/>
      <w:bookmarkStart w:id="56" w:name="_Toc20224404"/>
      <w:bookmarkStart w:id="57" w:name="_Toc20252634"/>
      <w:bookmarkStart w:id="58" w:name="_Toc169684926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5"/>
      <w:bookmarkEnd w:id="56"/>
      <w:bookmarkEnd w:id="57"/>
      <w:bookmarkEnd w:id="58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9" w:name="_Toc536447341"/>
      <w:bookmarkStart w:id="60" w:name="_Toc20224405"/>
      <w:bookmarkStart w:id="61" w:name="_Toc20252635"/>
      <w:bookmarkStart w:id="62" w:name="_Toc169684927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9"/>
      <w:bookmarkEnd w:id="60"/>
      <w:bookmarkEnd w:id="61"/>
      <w:bookmarkEnd w:id="62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3" w:name="_Toc536447342"/>
      <w:bookmarkStart w:id="64" w:name="_Toc20224406"/>
      <w:bookmarkStart w:id="65" w:name="_Toc20252636"/>
      <w:bookmarkStart w:id="66" w:name="_Toc169684928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3"/>
      <w:bookmarkEnd w:id="64"/>
      <w:bookmarkEnd w:id="65"/>
      <w:bookmarkEnd w:id="66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7" w:name="_Toc536447343"/>
      <w:bookmarkStart w:id="68" w:name="_Toc20224407"/>
      <w:bookmarkStart w:id="69" w:name="_Toc20252637"/>
      <w:bookmarkStart w:id="70" w:name="_Toc169684929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7"/>
      <w:bookmarkEnd w:id="68"/>
      <w:bookmarkEnd w:id="69"/>
      <w:bookmarkEnd w:id="70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1" w:name="_Toc20224408"/>
      <w:bookmarkStart w:id="72" w:name="_Toc20252638"/>
      <w:bookmarkStart w:id="73" w:name="_Toc169684930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1"/>
      <w:bookmarkEnd w:id="72"/>
      <w:bookmarkEnd w:id="73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4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4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2"/>
      <w:bookmarkStart w:id="76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5"/>
      <w:bookmarkEnd w:id="76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7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7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87"/>
      <w:bookmarkEnd w:id="78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9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9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6"/>
      <w:bookmarkEnd w:id="80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7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8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3" w:name="_Toc20224409"/>
      <w:bookmarkStart w:id="84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3"/>
      <w:bookmarkEnd w:id="84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5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6" w:name="_Toc20252640"/>
      <w:bookmarkStart w:id="87" w:name="_Toc169684931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5"/>
      <w:bookmarkEnd w:id="86"/>
      <w:bookmarkEnd w:id="87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8" w:name="_Toc20224411"/>
      <w:bookmarkStart w:id="89" w:name="_Toc20252641"/>
      <w:bookmarkStart w:id="90" w:name="_Toc169684932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8"/>
      <w:bookmarkEnd w:id="89"/>
      <w:bookmarkEnd w:id="90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1" w:name="_Toc20224412"/>
      <w:bookmarkStart w:id="92" w:name="_Toc20252642"/>
      <w:bookmarkStart w:id="93" w:name="_Toc169684933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1"/>
      <w:bookmarkEnd w:id="92"/>
      <w:bookmarkEnd w:id="93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4" w:name="_Toc255985697"/>
      <w:bookmarkStart w:id="95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6" w:name="_Toc20474863"/>
      <w:bookmarkStart w:id="97" w:name="_Toc98425383"/>
      <w:bookmarkStart w:id="98" w:name="_Toc169684934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6"/>
      <w:bookmarkEnd w:id="97"/>
      <w:bookmarkEnd w:id="98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99" w:name="_Hlk110632925"/>
      <w:r w:rsidRPr="008D579C">
        <w:t>21.1</w:t>
      </w:r>
      <w:bookmarkEnd w:id="99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 xml:space="preserve"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</w:t>
      </w:r>
      <w:r w:rsidR="008D579C">
        <w:lastRenderedPageBreak/>
        <w:t>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</w:t>
      </w:r>
      <w:r w:rsidR="008D579C">
        <w:lastRenderedPageBreak/>
        <w:t>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0" w:name="_Toc20252643"/>
      <w:bookmarkStart w:id="101" w:name="_Toc169684935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4"/>
      <w:bookmarkEnd w:id="95"/>
      <w:bookmarkEnd w:id="100"/>
      <w:bookmarkEnd w:id="101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2" w:name="_Toc289360059"/>
      <w:bookmarkStart w:id="103" w:name="_Toc306184764"/>
      <w:bookmarkStart w:id="104" w:name="_Toc20224415"/>
      <w:bookmarkStart w:id="105" w:name="_Toc20252645"/>
      <w:bookmarkStart w:id="106" w:name="_Toc169684936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2"/>
      <w:bookmarkEnd w:id="103"/>
      <w:bookmarkEnd w:id="104"/>
      <w:bookmarkEnd w:id="105"/>
      <w:bookmarkEnd w:id="106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7" w:name="_Ref56222958"/>
      <w:bookmarkStart w:id="108" w:name="_Ref500429479"/>
      <w:r w:rsidRPr="00582763">
        <w:t xml:space="preserve">Договор между Заказчиком и Победителем запроса котировок заключается </w:t>
      </w:r>
      <w:bookmarkEnd w:id="107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8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9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9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0" w:name="_Hlk76820080"/>
      <w:r w:rsidR="00BC3B78" w:rsidRPr="0064782A">
        <w:t>не будет соответствовать условиям п.11.1 настоящей документации</w:t>
      </w:r>
      <w:bookmarkEnd w:id="110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1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1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9F2FE42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spellStart"/>
      <w:r w:rsidR="00AC4950">
        <w:t>В</w:t>
      </w:r>
      <w:r w:rsidRPr="00582763">
        <w:t>случае</w:t>
      </w:r>
      <w:proofErr w:type="spellEnd"/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2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2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3" w:name="_Toc169684937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3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192FFC99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>для нужд МУП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FE3ADE" w:rsidRPr="00820BBD" w14:paraId="6195B2A3" w14:textId="77777777" w:rsidTr="000B4C7F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3060" w14:textId="77777777" w:rsidR="00FE3ADE" w:rsidRPr="00820BBD" w:rsidRDefault="00FE3ADE" w:rsidP="000B4C7F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78321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61EE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17EFB23E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FE3ADE" w:rsidRPr="00820BBD" w14:paraId="75075988" w14:textId="77777777" w:rsidTr="000B4C7F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074F" w14:textId="77777777" w:rsidR="00FE3ADE" w:rsidRPr="00820BBD" w:rsidRDefault="00FE3ADE" w:rsidP="000B4C7F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3158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0064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2F51ED3F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кабельных линий 6/0,4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по территории города Муром без вскрытия асфальтного покрытия на благоустроенных участках города, а также при пересечении автомобильных дорог.</w:t>
            </w:r>
          </w:p>
        </w:tc>
      </w:tr>
      <w:tr w:rsidR="00FE3ADE" w:rsidRPr="00820BBD" w14:paraId="7A4B234A" w14:textId="77777777" w:rsidTr="000B4C7F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B9D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EAEF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A267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3FD6F926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3520F555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4C707F24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12CA69F0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7A4ED834" w14:textId="77777777" w:rsidR="00FE3ADE" w:rsidRPr="00A5447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</w:t>
            </w:r>
            <w:r w:rsidRPr="00A5447D">
              <w:rPr>
                <w:sz w:val="22"/>
                <w:szCs w:val="22"/>
              </w:rPr>
              <w:t>подготовка котлованов для ГНБ;</w:t>
            </w:r>
          </w:p>
          <w:p w14:paraId="3DC92FB0" w14:textId="77777777" w:rsidR="00FE3ADE" w:rsidRPr="00820BBD" w:rsidRDefault="00FE3ADE" w:rsidP="000B4C7F">
            <w:pPr>
              <w:snapToGrid w:val="0"/>
              <w:jc w:val="both"/>
              <w:rPr>
                <w:sz w:val="22"/>
                <w:szCs w:val="22"/>
              </w:rPr>
            </w:pPr>
            <w:r w:rsidRPr="00A5447D">
              <w:rPr>
                <w:sz w:val="22"/>
                <w:szCs w:val="22"/>
              </w:rPr>
              <w:t>- засыпка котлованов после проведения</w:t>
            </w:r>
            <w:r w:rsidRPr="00820BBD">
              <w:rPr>
                <w:sz w:val="22"/>
                <w:szCs w:val="22"/>
              </w:rPr>
              <w:t xml:space="preserve"> работ Подрядчиком;</w:t>
            </w:r>
          </w:p>
          <w:p w14:paraId="6A3742E2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650DD109" w14:textId="77777777" w:rsidR="00FE3ADE" w:rsidRPr="00820BBD" w:rsidRDefault="00FE3ADE" w:rsidP="000B4C7F">
            <w:pPr>
              <w:pStyle w:val="af8"/>
              <w:spacing w:after="6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5E19268D" w14:textId="77777777" w:rsidR="00FE3ADE" w:rsidRPr="00820BBD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05E8D8BA" w14:textId="77777777" w:rsidR="00FE3ADE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>
              <w:rPr>
                <w:sz w:val="22"/>
                <w:szCs w:val="22"/>
              </w:rPr>
              <w:t xml:space="preserve">труб </w:t>
            </w:r>
            <w:r w:rsidRPr="00782F6C">
              <w:rPr>
                <w:sz w:val="22"/>
                <w:szCs w:val="22"/>
              </w:rPr>
              <w:t>диаметром 160 мм методом ГНБ в объеме работ согласно приложению №2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50CF0174" w14:textId="77777777" w:rsidR="00FE3ADE" w:rsidRPr="00820BBD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707B45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3077AD96" w14:textId="77777777" w:rsidR="00FE3ADE" w:rsidRPr="00820BBD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FE3ADE" w:rsidRPr="00820BBD" w14:paraId="0BE0C8A7" w14:textId="77777777" w:rsidTr="000B4C7F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B8E2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7844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8B18" w14:textId="77777777" w:rsidR="00FE3ADE" w:rsidRPr="00820BBD" w:rsidRDefault="00FE3ADE" w:rsidP="000B4C7F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№1, Приложению №2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FE3ADE" w:rsidRPr="00820BBD" w14:paraId="127EB5FA" w14:textId="77777777" w:rsidTr="000B4C7F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E533C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BF0DA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9CB0" w14:textId="77777777" w:rsidR="00FE3ADE" w:rsidRPr="00820BBD" w:rsidRDefault="00FE3ADE" w:rsidP="000B4C7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</w:t>
            </w:r>
            <w:r w:rsidRPr="00F042A3">
              <w:rPr>
                <w:sz w:val="22"/>
                <w:szCs w:val="22"/>
              </w:rPr>
              <w:t xml:space="preserve">выполняются </w:t>
            </w:r>
            <w:r w:rsidRPr="00A5447D">
              <w:rPr>
                <w:b/>
                <w:sz w:val="22"/>
                <w:szCs w:val="22"/>
              </w:rPr>
              <w:t xml:space="preserve">в течение </w:t>
            </w:r>
            <w:r>
              <w:rPr>
                <w:b/>
                <w:sz w:val="22"/>
                <w:szCs w:val="22"/>
              </w:rPr>
              <w:t>1</w:t>
            </w:r>
            <w:r w:rsidRPr="00A5447D">
              <w:rPr>
                <w:b/>
                <w:sz w:val="22"/>
                <w:szCs w:val="22"/>
              </w:rPr>
              <w:t>0 (</w:t>
            </w:r>
            <w:r>
              <w:rPr>
                <w:b/>
                <w:sz w:val="22"/>
                <w:szCs w:val="22"/>
              </w:rPr>
              <w:t>деся</w:t>
            </w:r>
            <w:r w:rsidRPr="00A5447D">
              <w:rPr>
                <w:b/>
                <w:sz w:val="22"/>
                <w:szCs w:val="22"/>
              </w:rPr>
              <w:t>ти) календарных дней с даты заключения договора.</w:t>
            </w:r>
            <w:r>
              <w:rPr>
                <w:b/>
                <w:sz w:val="22"/>
                <w:szCs w:val="22"/>
              </w:rPr>
              <w:br/>
            </w:r>
            <w:r w:rsidRPr="00BF0003">
              <w:rPr>
                <w:sz w:val="22"/>
                <w:szCs w:val="22"/>
                <w:highlight w:val="yellow"/>
              </w:rPr>
              <w:t>Подрядчик по согласованию с Заказчиком может выполнить работы досрочно.</w:t>
            </w:r>
          </w:p>
        </w:tc>
      </w:tr>
      <w:tr w:rsidR="00FE3ADE" w:rsidRPr="00005D64" w14:paraId="65665B6E" w14:textId="77777777" w:rsidTr="000B4C7F">
        <w:trPr>
          <w:trHeight w:val="55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E77A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FAE1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4F1F" w14:textId="77777777" w:rsidR="00FE3ADE" w:rsidRPr="00E63889" w:rsidRDefault="00FE3ADE" w:rsidP="000B4C7F">
            <w:pPr>
              <w:ind w:left="57" w:right="132"/>
              <w:jc w:val="both"/>
            </w:pPr>
            <w:r w:rsidRPr="00E63889">
              <w:t>Работы выполняются с соблюдением необходимых технологий производства общестроительных работ.</w:t>
            </w:r>
          </w:p>
          <w:p w14:paraId="07E839BF" w14:textId="77777777" w:rsidR="00FE3ADE" w:rsidRDefault="00FE3ADE" w:rsidP="000B4C7F">
            <w:pPr>
              <w:ind w:left="57" w:right="132"/>
            </w:pPr>
            <w:r w:rsidRPr="00E63889">
              <w:t xml:space="preserve">Работы вести в соответствии </w:t>
            </w:r>
            <w:proofErr w:type="gramStart"/>
            <w:r w:rsidRPr="00E63889">
              <w:t>с:</w:t>
            </w:r>
            <w:r>
              <w:br/>
              <w:t>-</w:t>
            </w:r>
            <w:proofErr w:type="gramEnd"/>
            <w:r>
              <w:t xml:space="preserve"> </w:t>
            </w:r>
            <w:r w:rsidRPr="00EC2115">
              <w:t>СП 48.13330.2019. Свод правил. Организация строительства. СНиП 12-01-2004</w:t>
            </w:r>
          </w:p>
          <w:p w14:paraId="72FC13EC" w14:textId="77777777" w:rsidR="00FE3ADE" w:rsidRPr="00E63889" w:rsidRDefault="00FE3ADE" w:rsidP="000B4C7F">
            <w:pPr>
              <w:ind w:left="57" w:right="130"/>
              <w:jc w:val="both"/>
            </w:pPr>
            <w:r>
              <w:t xml:space="preserve">- </w:t>
            </w:r>
            <w:r w:rsidRPr="00EC2115">
              <w:t>СП 341.1325800.2017. Свод правил. Подземные инженерные коммуникации. Прокладка горизонтальным направленным бурением"</w:t>
            </w:r>
          </w:p>
          <w:p w14:paraId="4B954623" w14:textId="77777777" w:rsidR="00FE3ADE" w:rsidRPr="009F75C5" w:rsidRDefault="00FE3ADE" w:rsidP="000B4C7F">
            <w:pPr>
              <w:ind w:left="57" w:right="132"/>
              <w:jc w:val="both"/>
            </w:pPr>
            <w:r w:rsidRPr="009F75C5">
              <w:t>- СНиП 12-03-2001, СНиП 12-04-2002 "Безопасность труда в строительстве"</w:t>
            </w:r>
          </w:p>
          <w:p w14:paraId="38B07ADE" w14:textId="77777777" w:rsidR="00FE3ADE" w:rsidRPr="00E63889" w:rsidRDefault="00FE3ADE" w:rsidP="000B4C7F">
            <w:pPr>
              <w:ind w:left="57" w:right="132"/>
              <w:jc w:val="both"/>
            </w:pPr>
            <w:r w:rsidRPr="009F75C5">
              <w:lastRenderedPageBreak/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</w:p>
        </w:tc>
      </w:tr>
      <w:tr w:rsidR="00FE3ADE" w:rsidRPr="00820BBD" w14:paraId="4163A90D" w14:textId="77777777" w:rsidTr="000B4C7F">
        <w:trPr>
          <w:trHeight w:val="6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816D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ECBD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0D10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5FCC090F" w14:textId="77777777" w:rsidR="00FE3ADE" w:rsidRPr="00820BBD" w:rsidRDefault="00FE3ADE" w:rsidP="000B4C7F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31847405" w14:textId="77777777" w:rsidR="00FE3ADE" w:rsidRPr="00820BBD" w:rsidRDefault="00FE3ADE" w:rsidP="000B4C7F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FE3ADE" w:rsidRPr="00820BBD" w14:paraId="7815DCBF" w14:textId="77777777" w:rsidTr="000B4C7F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2B4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BDDA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081F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№2</w:t>
            </w:r>
            <w:r w:rsidRPr="00820BBD">
              <w:rPr>
                <w:sz w:val="22"/>
                <w:szCs w:val="22"/>
              </w:rPr>
              <w:t>.</w:t>
            </w:r>
          </w:p>
          <w:p w14:paraId="4E496261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70500A43" w14:textId="77777777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49A6A32D" w14:textId="77777777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18CED27C" w14:textId="28B19F53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На все время действия </w:t>
            </w:r>
            <w:r w:rsidR="00B6110A">
              <w:rPr>
                <w:sz w:val="22"/>
                <w:szCs w:val="22"/>
              </w:rPr>
              <w:t>договора</w:t>
            </w:r>
            <w:r w:rsidRPr="00820BBD">
              <w:rPr>
                <w:sz w:val="22"/>
                <w:szCs w:val="22"/>
              </w:rPr>
              <w:t xml:space="preserve">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516DB06B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      </w:r>
          </w:p>
        </w:tc>
      </w:tr>
      <w:tr w:rsidR="00FE3ADE" w:rsidRPr="00820BBD" w14:paraId="4195FB67" w14:textId="77777777" w:rsidTr="000B4C7F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907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C91F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8467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работ:</w:t>
            </w:r>
          </w:p>
          <w:p w14:paraId="68E8A5E5" w14:textId="31737245" w:rsidR="00C926F9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0B1701">
              <w:rPr>
                <w:sz w:val="22"/>
                <w:szCs w:val="22"/>
              </w:rPr>
              <w:t xml:space="preserve">Трубы безнапорные полиэтиленовые, технические </w:t>
            </w:r>
            <w:r w:rsidRPr="00CF1D27">
              <w:rPr>
                <w:color w:val="0000FF"/>
                <w:sz w:val="22"/>
                <w:szCs w:val="22"/>
              </w:rPr>
              <w:t>ПЭ 100</w:t>
            </w:r>
            <w:r w:rsidRPr="00180452">
              <w:rPr>
                <w:color w:val="0000FF"/>
                <w:sz w:val="22"/>
                <w:szCs w:val="22"/>
              </w:rPr>
              <w:t xml:space="preserve"> </w:t>
            </w:r>
            <w:r w:rsidR="00C926F9" w:rsidRPr="00515E78">
              <w:rPr>
                <w:color w:val="0000FF"/>
                <w:sz w:val="22"/>
                <w:szCs w:val="22"/>
              </w:rPr>
              <w:t>номинальным наружным диаметром 160 мм</w:t>
            </w:r>
            <w:r w:rsidR="00515E78">
              <w:rPr>
                <w:color w:val="0000FF"/>
                <w:sz w:val="22"/>
                <w:szCs w:val="22"/>
              </w:rPr>
              <w:t>.</w:t>
            </w:r>
          </w:p>
          <w:p w14:paraId="51CF1EDA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11DF60EC" w14:textId="77777777" w:rsidR="00FE3ADE" w:rsidRPr="00820BBD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</w:t>
            </w:r>
            <w:r w:rsidRPr="00BC38D8">
              <w:rPr>
                <w:sz w:val="22"/>
                <w:szCs w:val="22"/>
              </w:rPr>
              <w:t xml:space="preserve">выпущенными не ранее </w:t>
            </w:r>
            <w:r w:rsidRPr="006F0CED">
              <w:rPr>
                <w:sz w:val="22"/>
                <w:szCs w:val="22"/>
              </w:rPr>
              <w:t>2023 года.</w:t>
            </w:r>
          </w:p>
        </w:tc>
      </w:tr>
      <w:tr w:rsidR="00FE3ADE" w:rsidRPr="00820BBD" w14:paraId="23878B87" w14:textId="77777777" w:rsidTr="000B4C7F">
        <w:trPr>
          <w:trHeight w:val="5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64B4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10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0F68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BD3B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Результат выполненной Подрядчиком работы должен соответствовать объемам и срокам, предусмотренным техническим заданием в 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56FD5FF7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51577746" w14:textId="69A14E7F" w:rsidR="00FE3ADE" w:rsidRPr="00820BBD" w:rsidRDefault="00FE3ADE" w:rsidP="00B6110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 xml:space="preserve">, Подрядчик письменно уведомляет Заказчика о факте завершения работ. В случае выявления недостатков </w:t>
            </w:r>
            <w:r w:rsidRPr="00820BBD">
              <w:rPr>
                <w:sz w:val="22"/>
                <w:szCs w:val="22"/>
              </w:rPr>
              <w:lastRenderedPageBreak/>
              <w:t xml:space="preserve">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</w:t>
            </w:r>
            <w:r w:rsidR="00B6110A">
              <w:rPr>
                <w:sz w:val="22"/>
                <w:szCs w:val="22"/>
              </w:rPr>
              <w:t>договором</w:t>
            </w:r>
            <w:r w:rsidRPr="00820BBD">
              <w:rPr>
                <w:sz w:val="22"/>
                <w:szCs w:val="22"/>
              </w:rPr>
              <w:t xml:space="preserve">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FE3ADE" w:rsidRPr="00820BBD" w14:paraId="44A09552" w14:textId="77777777" w:rsidTr="000B4C7F">
        <w:trPr>
          <w:trHeight w:val="70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07E61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1BE5" w14:textId="77777777" w:rsidR="00FE3ADE" w:rsidRPr="00820BBD" w:rsidRDefault="00FE3ADE" w:rsidP="000B4C7F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CCB4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 xml:space="preserve">исполнительную документацию по каждому адресу работ, согласно Приложения №1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3C70C4D2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4D3B854E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7F75D314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662FACFC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4E0C302A" w14:textId="77777777" w:rsidR="00FE3ADE" w:rsidRPr="00820BBD" w:rsidRDefault="00FE3ADE" w:rsidP="000B4C7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FE3ADE" w:rsidRPr="00820BBD" w14:paraId="2BE12827" w14:textId="77777777" w:rsidTr="000B4C7F">
        <w:trPr>
          <w:trHeight w:val="7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515D" w14:textId="77777777" w:rsidR="00FE3ADE" w:rsidRPr="00820BBD" w:rsidRDefault="00FE3ADE" w:rsidP="000B4C7F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502D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9DB3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5EED9D37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</w:p>
          <w:p w14:paraId="5CB521DE" w14:textId="77777777" w:rsidR="00FE3ADE" w:rsidRPr="00820BBD" w:rsidRDefault="00FE3ADE" w:rsidP="000B4C7F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 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4467D019" w14:textId="77777777" w:rsidR="00F33089" w:rsidRDefault="00F33089" w:rsidP="00F33089">
      <w:pPr>
        <w:rPr>
          <w:b/>
          <w:sz w:val="22"/>
          <w:szCs w:val="22"/>
        </w:rPr>
      </w:pPr>
    </w:p>
    <w:p w14:paraId="00F8E7DB" w14:textId="77777777" w:rsidR="00FE3ADE" w:rsidRDefault="00FE3ADE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77777777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МУП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1415"/>
        <w:gridCol w:w="2126"/>
      </w:tblGrid>
      <w:tr w:rsidR="00FE3ADE" w:rsidRPr="00B91466" w14:paraId="0E5D0158" w14:textId="77777777" w:rsidTr="000B4C7F">
        <w:trPr>
          <w:trHeight w:val="1140"/>
        </w:trPr>
        <w:tc>
          <w:tcPr>
            <w:tcW w:w="6802" w:type="dxa"/>
            <w:shd w:val="clear" w:color="auto" w:fill="auto"/>
            <w:noWrap/>
            <w:vAlign w:val="center"/>
            <w:hideMark/>
          </w:tcPr>
          <w:p w14:paraId="23D1E95F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6F2A4DF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5ABE42A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FE3ADE" w:rsidRPr="00B91466" w14:paraId="233145D9" w14:textId="77777777" w:rsidTr="000B4C7F">
        <w:trPr>
          <w:trHeight w:val="300"/>
        </w:trPr>
        <w:tc>
          <w:tcPr>
            <w:tcW w:w="6802" w:type="dxa"/>
            <w:shd w:val="clear" w:color="auto" w:fill="auto"/>
            <w:noWrap/>
            <w:vAlign w:val="bottom"/>
          </w:tcPr>
          <w:p w14:paraId="21093788" w14:textId="349F7355" w:rsidR="00FE3ADE" w:rsidRPr="00B91466" w:rsidRDefault="00FE3ADE" w:rsidP="000B4C7F">
            <w:pPr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FE3ADE">
              <w:rPr>
                <w:b/>
                <w:bCs/>
                <w:color w:val="000000"/>
              </w:rPr>
              <w:t>кВ</w:t>
            </w:r>
            <w:proofErr w:type="spellEnd"/>
            <w:r w:rsidRPr="00FE3ADE">
              <w:rPr>
                <w:b/>
                <w:bCs/>
                <w:color w:val="000000"/>
              </w:rPr>
              <w:t xml:space="preserve"> КТП206-нежилое здание по ул. Куликова,1а</w:t>
            </w: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79A41679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6FF1765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3ADE" w:rsidRPr="00B91466" w14:paraId="0E8DF1A6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34516C9A" w14:textId="21F9ECCE" w:rsidR="00FE3ADE" w:rsidRPr="00B91466" w:rsidRDefault="00FE3ADE" w:rsidP="00FE3ADE">
            <w:pPr>
              <w:jc w:val="right"/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>ул. С</w:t>
            </w:r>
            <w:r>
              <w:rPr>
                <w:b/>
                <w:bCs/>
                <w:color w:val="000000"/>
              </w:rPr>
              <w:t>оветская, в районе ул. Парковая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32C01076" w14:textId="2F0EA27C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>2ПНД160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D444168" w14:textId="38FE295C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C42E92" w:rsidRPr="00B91466" w14:paraId="3A4DF889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5B6342CD" w14:textId="4FB216F5" w:rsidR="00C42E92" w:rsidRPr="00FE3ADE" w:rsidRDefault="00C42E92" w:rsidP="00C42E92">
            <w:pPr>
              <w:rPr>
                <w:b/>
                <w:bCs/>
                <w:color w:val="000000"/>
              </w:rPr>
            </w:pPr>
            <w:r w:rsidRPr="00C42E92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C42E92">
              <w:rPr>
                <w:b/>
                <w:bCs/>
                <w:color w:val="000000"/>
              </w:rPr>
              <w:t>кВ</w:t>
            </w:r>
            <w:proofErr w:type="spellEnd"/>
            <w:r w:rsidRPr="00C42E92">
              <w:rPr>
                <w:b/>
                <w:bCs/>
                <w:color w:val="000000"/>
              </w:rPr>
              <w:t xml:space="preserve"> с ВЛ КТП 155 -по ул. </w:t>
            </w:r>
            <w:proofErr w:type="spellStart"/>
            <w:r w:rsidRPr="00C42E92">
              <w:rPr>
                <w:b/>
                <w:bCs/>
                <w:color w:val="000000"/>
              </w:rPr>
              <w:t>Л.Толстого</w:t>
            </w:r>
            <w:proofErr w:type="spellEnd"/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0A0693F5" w14:textId="77777777" w:rsidR="00C42E92" w:rsidRPr="00FE3ADE" w:rsidRDefault="00C42E92" w:rsidP="000B4C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966DD8B" w14:textId="77777777" w:rsidR="00C42E92" w:rsidRDefault="00C42E92" w:rsidP="000B4C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3ADE" w:rsidRPr="00B91466" w14:paraId="2091F281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2294988A" w14:textId="57C5F346" w:rsidR="00FE3ADE" w:rsidRDefault="00C42E92" w:rsidP="00FE3ADE">
            <w:pPr>
              <w:jc w:val="right"/>
              <w:rPr>
                <w:b/>
                <w:bCs/>
                <w:color w:val="000000"/>
              </w:rPr>
            </w:pPr>
            <w:r w:rsidRPr="00C42E92">
              <w:rPr>
                <w:b/>
                <w:bCs/>
                <w:color w:val="000000"/>
              </w:rPr>
              <w:t xml:space="preserve">перекресток </w:t>
            </w:r>
            <w:proofErr w:type="spellStart"/>
            <w:r w:rsidRPr="00C42E92">
              <w:rPr>
                <w:b/>
                <w:bCs/>
                <w:color w:val="000000"/>
              </w:rPr>
              <w:t>ул.Коммунистическая</w:t>
            </w:r>
            <w:proofErr w:type="spellEnd"/>
            <w:r w:rsidRPr="00C42E92">
              <w:rPr>
                <w:b/>
                <w:bCs/>
                <w:color w:val="000000"/>
              </w:rPr>
              <w:t xml:space="preserve"> - </w:t>
            </w:r>
            <w:proofErr w:type="spellStart"/>
            <w:r w:rsidRPr="00C42E92">
              <w:rPr>
                <w:b/>
                <w:bCs/>
                <w:color w:val="000000"/>
              </w:rPr>
              <w:t>ул.Л.Толстого</w:t>
            </w:r>
            <w:proofErr w:type="spellEnd"/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39ACBBC7" w14:textId="678373CB" w:rsidR="00FE3ADE" w:rsidRPr="001806DF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>2ПНД160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2AC8C5F" w14:textId="09857682" w:rsidR="00FE3ADE" w:rsidRDefault="00FE3ADE" w:rsidP="000B4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</w:tbl>
    <w:p w14:paraId="67E37C18" w14:textId="77777777" w:rsidR="00FE3ADE" w:rsidRPr="00F33089" w:rsidRDefault="00FE3ADE" w:rsidP="00F33089">
      <w:pPr>
        <w:rPr>
          <w:b/>
          <w:sz w:val="22"/>
          <w:szCs w:val="22"/>
        </w:rPr>
      </w:pPr>
    </w:p>
    <w:p w14:paraId="6F3EA9E6" w14:textId="287704AC" w:rsidR="00F33089" w:rsidRPr="00F33089" w:rsidRDefault="00F33089" w:rsidP="00F33089">
      <w:pPr>
        <w:jc w:val="right"/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7777777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МУП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40CEAEA3" w14:textId="77777777" w:rsidR="00FE3ADE" w:rsidRDefault="00FE3ADE" w:rsidP="00FE3ADE">
      <w:pPr>
        <w:ind w:right="3"/>
        <w:rPr>
          <w:b/>
          <w:u w:val="single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701"/>
        <w:gridCol w:w="1701"/>
        <w:gridCol w:w="2126"/>
      </w:tblGrid>
      <w:tr w:rsidR="00FE3ADE" w:rsidRPr="00C807DE" w14:paraId="6D80F93B" w14:textId="77777777" w:rsidTr="000B4C7F">
        <w:tc>
          <w:tcPr>
            <w:tcW w:w="567" w:type="dxa"/>
            <w:vAlign w:val="center"/>
          </w:tcPr>
          <w:p w14:paraId="540E6AEC" w14:textId="77777777" w:rsidR="00FE3ADE" w:rsidRPr="006C7CC0" w:rsidRDefault="00FE3ADE" w:rsidP="000B4C7F">
            <w:pPr>
              <w:ind w:right="3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№</w:t>
            </w:r>
          </w:p>
          <w:p w14:paraId="4828B30E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14:paraId="5C69F953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701" w:type="dxa"/>
            <w:vAlign w:val="center"/>
          </w:tcPr>
          <w:p w14:paraId="688ECBCD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92D71D5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6C7CC0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6C7CC0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2126" w:type="dxa"/>
            <w:vAlign w:val="center"/>
          </w:tcPr>
          <w:p w14:paraId="6F74C39B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Сумма, руб.</w:t>
            </w:r>
          </w:p>
        </w:tc>
      </w:tr>
      <w:tr w:rsidR="00BF070C" w:rsidRPr="00C807DE" w14:paraId="417B1645" w14:textId="77777777" w:rsidTr="000B4C7F">
        <w:trPr>
          <w:trHeight w:val="2158"/>
        </w:trPr>
        <w:tc>
          <w:tcPr>
            <w:tcW w:w="567" w:type="dxa"/>
            <w:vAlign w:val="center"/>
          </w:tcPr>
          <w:p w14:paraId="07E64A3E" w14:textId="77777777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  <w:r w:rsidRPr="00C807D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28BADF1A" w14:textId="76880F2C" w:rsidR="00BF070C" w:rsidRPr="00C807DE" w:rsidRDefault="00BF070C" w:rsidP="00CF1D27">
            <w:pPr>
              <w:ind w:right="3"/>
              <w:rPr>
                <w:sz w:val="22"/>
                <w:szCs w:val="22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по </w:t>
            </w:r>
            <w:r>
              <w:rPr>
                <w:sz w:val="23"/>
                <w:szCs w:val="23"/>
              </w:rPr>
              <w:t xml:space="preserve">ул. Советская, в районе ул. Парковая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Pr="00CF1D27">
              <w:rPr>
                <w:sz w:val="23"/>
                <w:szCs w:val="23"/>
                <w:highlight w:val="yellow"/>
              </w:rPr>
              <w:t>ПЭ</w:t>
            </w:r>
            <w:r w:rsidR="00CF1D27" w:rsidRPr="00CF1D27">
              <w:rPr>
                <w:sz w:val="23"/>
                <w:szCs w:val="23"/>
                <w:highlight w:val="yellow"/>
              </w:rPr>
              <w:t xml:space="preserve"> </w:t>
            </w:r>
            <w:r w:rsidRPr="00CF1D27">
              <w:rPr>
                <w:sz w:val="23"/>
                <w:szCs w:val="23"/>
                <w:highlight w:val="yellow"/>
              </w:rPr>
              <w:t>100</w:t>
            </w:r>
            <w:r w:rsidR="00CF1D27" w:rsidRPr="00CF1D27">
              <w:rPr>
                <w:sz w:val="23"/>
                <w:szCs w:val="23"/>
                <w:highlight w:val="yellow"/>
              </w:rPr>
              <w:t xml:space="preserve"> </w:t>
            </w:r>
            <w:r w:rsidRPr="00CF1D27">
              <w:rPr>
                <w:sz w:val="23"/>
                <w:szCs w:val="23"/>
                <w:highlight w:val="yellow"/>
                <w:lang w:val="en-US"/>
              </w:rPr>
              <w:t>SDR</w:t>
            </w:r>
            <w:r w:rsidR="00CF1D27" w:rsidRPr="00CF1D27">
              <w:rPr>
                <w:sz w:val="23"/>
                <w:szCs w:val="23"/>
                <w:highlight w:val="yellow"/>
              </w:rPr>
              <w:t xml:space="preserve"> ___</w:t>
            </w:r>
            <w:r w:rsidRPr="00CF1D27">
              <w:rPr>
                <w:sz w:val="23"/>
                <w:szCs w:val="23"/>
                <w:highlight w:val="yellow"/>
              </w:rPr>
              <w:t xml:space="preserve"> </w:t>
            </w:r>
            <w:r w:rsidRPr="00CF1D27">
              <w:rPr>
                <w:sz w:val="23"/>
                <w:szCs w:val="23"/>
              </w:rPr>
              <w:t>в количестве 160м)</w:t>
            </w:r>
            <w:r w:rsidRPr="00993EA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14:paraId="240DB33A" w14:textId="77777777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9B6FE1" w14:textId="77777777" w:rsidR="00BF070C" w:rsidRDefault="00BF070C" w:rsidP="00BF070C">
            <w:pPr>
              <w:jc w:val="center"/>
            </w:pPr>
            <w:r>
              <w:t>2х80</w:t>
            </w:r>
          </w:p>
          <w:p w14:paraId="1820040D" w14:textId="77777777" w:rsidR="00BF070C" w:rsidRDefault="00BF070C" w:rsidP="00BF070C">
            <w:pPr>
              <w:jc w:val="center"/>
            </w:pPr>
          </w:p>
          <w:p w14:paraId="1F481D1F" w14:textId="77777777" w:rsidR="00BF070C" w:rsidRDefault="00BF070C" w:rsidP="00BF070C"/>
          <w:p w14:paraId="3CA17630" w14:textId="2F3F47D4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3FD92B" w14:textId="77777777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BF070C" w:rsidRPr="00C807DE" w14:paraId="5A972CCC" w14:textId="77777777" w:rsidTr="000B4C7F">
        <w:trPr>
          <w:trHeight w:val="2158"/>
        </w:trPr>
        <w:tc>
          <w:tcPr>
            <w:tcW w:w="567" w:type="dxa"/>
            <w:vAlign w:val="center"/>
          </w:tcPr>
          <w:p w14:paraId="6A4F6752" w14:textId="749E63AD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033B9B4C" w14:textId="193D8952" w:rsidR="00BF070C" w:rsidRPr="003B49DB" w:rsidRDefault="00BF070C" w:rsidP="00280866">
            <w:pPr>
              <w:ind w:right="3"/>
              <w:rPr>
                <w:sz w:val="22"/>
                <w:szCs w:val="22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</w:t>
            </w:r>
            <w:r w:rsidR="00280866">
              <w:rPr>
                <w:sz w:val="23"/>
                <w:szCs w:val="23"/>
              </w:rPr>
              <w:t xml:space="preserve"> через</w:t>
            </w:r>
            <w:r w:rsidRPr="00993EAB">
              <w:rPr>
                <w:sz w:val="23"/>
                <w:szCs w:val="23"/>
              </w:rPr>
              <w:t xml:space="preserve"> </w:t>
            </w:r>
            <w:r w:rsidR="00280866" w:rsidRPr="00280866">
              <w:rPr>
                <w:sz w:val="23"/>
                <w:szCs w:val="23"/>
              </w:rPr>
              <w:t xml:space="preserve">перекресток </w:t>
            </w:r>
            <w:proofErr w:type="spellStart"/>
            <w:r w:rsidR="00280866" w:rsidRPr="00280866">
              <w:rPr>
                <w:sz w:val="23"/>
                <w:szCs w:val="23"/>
              </w:rPr>
              <w:t>ул.Коммунистическая</w:t>
            </w:r>
            <w:proofErr w:type="spellEnd"/>
            <w:r w:rsidR="00280866" w:rsidRPr="00280866">
              <w:rPr>
                <w:sz w:val="23"/>
                <w:szCs w:val="23"/>
              </w:rPr>
              <w:t xml:space="preserve"> - </w:t>
            </w:r>
            <w:proofErr w:type="spellStart"/>
            <w:r w:rsidR="00280866" w:rsidRPr="00280866">
              <w:rPr>
                <w:sz w:val="23"/>
                <w:szCs w:val="23"/>
              </w:rPr>
              <w:t>ул.Л.Толстого</w:t>
            </w:r>
            <w:proofErr w:type="spellEnd"/>
            <w:r w:rsidR="00280866" w:rsidRPr="00280866">
              <w:rPr>
                <w:sz w:val="23"/>
                <w:szCs w:val="23"/>
              </w:rPr>
              <w:t xml:space="preserve">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Pr="00CF1D27">
              <w:rPr>
                <w:sz w:val="23"/>
                <w:szCs w:val="23"/>
                <w:highlight w:val="yellow"/>
              </w:rPr>
              <w:t>ПЭ</w:t>
            </w:r>
            <w:r w:rsidR="00CF1D27" w:rsidRPr="00CF1D27">
              <w:rPr>
                <w:sz w:val="23"/>
                <w:szCs w:val="23"/>
                <w:highlight w:val="yellow"/>
              </w:rPr>
              <w:t xml:space="preserve"> 100 </w:t>
            </w:r>
            <w:r w:rsidRPr="00CF1D27">
              <w:rPr>
                <w:sz w:val="23"/>
                <w:szCs w:val="23"/>
                <w:highlight w:val="yellow"/>
                <w:lang w:val="en-US"/>
              </w:rPr>
              <w:t>SDR</w:t>
            </w:r>
            <w:r w:rsidR="00CF1D27" w:rsidRPr="00CF1D27">
              <w:rPr>
                <w:sz w:val="23"/>
                <w:szCs w:val="23"/>
                <w:highlight w:val="yellow"/>
              </w:rPr>
              <w:t xml:space="preserve"> ___</w:t>
            </w:r>
            <w:r w:rsidR="00CF1D27">
              <w:rPr>
                <w:sz w:val="23"/>
                <w:szCs w:val="23"/>
              </w:rPr>
              <w:t xml:space="preserve">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40</w:t>
            </w:r>
            <w:r w:rsidRPr="00993EAB">
              <w:rPr>
                <w:sz w:val="23"/>
                <w:szCs w:val="23"/>
              </w:rPr>
              <w:t xml:space="preserve"> м)</w:t>
            </w:r>
          </w:p>
        </w:tc>
        <w:tc>
          <w:tcPr>
            <w:tcW w:w="1701" w:type="dxa"/>
          </w:tcPr>
          <w:p w14:paraId="20C1524E" w14:textId="77777777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7F4DCF" w14:textId="788FE7A6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  <w:r>
              <w:t>2х20</w:t>
            </w:r>
          </w:p>
        </w:tc>
        <w:tc>
          <w:tcPr>
            <w:tcW w:w="2126" w:type="dxa"/>
            <w:vAlign w:val="center"/>
          </w:tcPr>
          <w:p w14:paraId="35D8D604" w14:textId="77777777" w:rsidR="00BF070C" w:rsidRPr="00C807DE" w:rsidRDefault="00BF070C" w:rsidP="00BF070C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BF070C" w:rsidRPr="00C807DE" w14:paraId="57A87254" w14:textId="77777777" w:rsidTr="000B4C7F">
        <w:trPr>
          <w:trHeight w:val="430"/>
        </w:trPr>
        <w:tc>
          <w:tcPr>
            <w:tcW w:w="8222" w:type="dxa"/>
            <w:gridSpan w:val="4"/>
            <w:vAlign w:val="center"/>
          </w:tcPr>
          <w:p w14:paraId="2A123221" w14:textId="77777777" w:rsidR="00BF070C" w:rsidRPr="000669EE" w:rsidRDefault="00BF070C" w:rsidP="00BF070C">
            <w:pPr>
              <w:ind w:right="3"/>
              <w:rPr>
                <w:b/>
                <w:sz w:val="22"/>
                <w:szCs w:val="22"/>
              </w:rPr>
            </w:pPr>
            <w:r w:rsidRPr="000669E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1719E665" w14:textId="77777777" w:rsidR="00BF070C" w:rsidRPr="000669EE" w:rsidRDefault="00BF070C" w:rsidP="00BF070C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436DED9" w14:textId="77777777" w:rsidR="00FE3ADE" w:rsidRDefault="00FE3ADE" w:rsidP="00FE3ADE">
      <w:pPr>
        <w:pStyle w:val="10"/>
        <w:tabs>
          <w:tab w:val="left" w:pos="6424"/>
        </w:tabs>
        <w:spacing w:before="240"/>
        <w:ind w:left="792" w:right="3" w:hanging="360"/>
        <w:jc w:val="center"/>
        <w:rPr>
          <w:rFonts w:ascii="Times New Roman" w:eastAsia="MS Mincho" w:hAnsi="Times New Roman"/>
          <w:color w:val="17365D"/>
          <w:kern w:val="32"/>
          <w:lang w:val="x-none" w:eastAsia="x-none"/>
        </w:rPr>
      </w:pPr>
    </w:p>
    <w:p w14:paraId="5925B17E" w14:textId="77777777" w:rsidR="00BA13DB" w:rsidRDefault="00BA13DB" w:rsidP="00F33089">
      <w:pPr>
        <w:rPr>
          <w:b/>
          <w:sz w:val="22"/>
          <w:szCs w:val="22"/>
          <w:lang w:eastAsia="en-US"/>
        </w:rPr>
      </w:pPr>
    </w:p>
    <w:p w14:paraId="11C9B643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169684938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01A24EF2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4D4EDB">
        <w:rPr>
          <w:rFonts w:eastAsia="Calibri"/>
          <w:b/>
          <w:sz w:val="25"/>
          <w:szCs w:val="25"/>
        </w:rPr>
        <w:t>5</w:t>
      </w:r>
      <w:r w:rsidR="00BF070C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ADF0A35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475B88" w:rsidRPr="00E86BDA">
        <w:rPr>
          <w:rFonts w:eastAsia="Calibri"/>
        </w:rPr>
        <w:t>4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C807DE">
        <w:rPr>
          <w:b/>
          <w:bCs/>
        </w:rPr>
        <w:t>Муниципальное унитарное предприятие округа Муром «Городская электросеть»</w:t>
      </w:r>
      <w:r w:rsidRPr="00C807DE">
        <w:t xml:space="preserve">, (сокращенное наименование – МУП «Горэлектросеть»), именуемое в дальнейшем </w:t>
      </w:r>
      <w:r w:rsidRPr="00C807DE">
        <w:rPr>
          <w:b/>
          <w:bCs/>
        </w:rPr>
        <w:t>Заказчик</w:t>
      </w:r>
      <w:r w:rsidRPr="00C807DE">
        <w:t xml:space="preserve">, в лице директора </w:t>
      </w:r>
      <w:proofErr w:type="spellStart"/>
      <w:r w:rsidRPr="00C807DE">
        <w:t>Александрука</w:t>
      </w:r>
      <w:proofErr w:type="spellEnd"/>
      <w:r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lastRenderedPageBreak/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8" w:name="_Toc150414172"/>
      <w:bookmarkStart w:id="119" w:name="_Toc169684939"/>
      <w:r w:rsidRPr="00C807DE">
        <w:rPr>
          <w:rFonts w:eastAsia="Calibri"/>
        </w:rPr>
        <w:t>1. ПРЕДМЕТ ДОГОВОРА</w:t>
      </w:r>
      <w:bookmarkEnd w:id="118"/>
      <w:bookmarkEnd w:id="119"/>
    </w:p>
    <w:p w14:paraId="01C27CF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D404421" w14:textId="77777777" w:rsidR="00BF070C" w:rsidRPr="009053F2" w:rsidRDefault="00BF070C" w:rsidP="00BF070C">
      <w:pPr>
        <w:pStyle w:val="af8"/>
        <w:widowControl w:val="0"/>
        <w:numPr>
          <w:ilvl w:val="1"/>
          <w:numId w:val="34"/>
        </w:numPr>
        <w:tabs>
          <w:tab w:val="clear" w:pos="68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C807D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0" w:name="_Toc150414173"/>
      <w:bookmarkStart w:id="121" w:name="_Toc169684940"/>
      <w:r w:rsidRPr="00C807DE">
        <w:rPr>
          <w:rFonts w:eastAsia="Calibri"/>
        </w:rPr>
        <w:t>2. СРОКИ ВЫПОЛНЕНИЯ РАБОТ</w:t>
      </w:r>
      <w:bookmarkEnd w:id="120"/>
      <w:bookmarkEnd w:id="121"/>
    </w:p>
    <w:p w14:paraId="55B368BE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</w:rPr>
      </w:pPr>
      <w:bookmarkStart w:id="122" w:name="P24"/>
      <w:bookmarkEnd w:id="122"/>
    </w:p>
    <w:p w14:paraId="5EC62A72" w14:textId="77777777" w:rsidR="00BF070C" w:rsidRPr="009053F2" w:rsidRDefault="00BF070C" w:rsidP="00BF070C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bookmarkStart w:id="123" w:name="_Toc150414174"/>
      <w:bookmarkStart w:id="124" w:name="_Toc169684941"/>
      <w:r w:rsidRPr="009053F2">
        <w:rPr>
          <w:rFonts w:eastAsia="Calibri"/>
        </w:rPr>
        <w:t>Работы выполняются в течение 10 (десяти) календарных дней с даты заключения договора.</w:t>
      </w:r>
      <w:bookmarkEnd w:id="123"/>
      <w:bookmarkEnd w:id="124"/>
    </w:p>
    <w:p w14:paraId="7357470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</w:rPr>
      </w:pPr>
      <w:bookmarkStart w:id="125" w:name="_Toc150414175"/>
      <w:bookmarkStart w:id="126" w:name="_Toc169684942"/>
      <w:r>
        <w:rPr>
          <w:rFonts w:eastAsia="Calibri"/>
        </w:rPr>
        <w:t xml:space="preserve">2.2. </w:t>
      </w:r>
      <w:r w:rsidRPr="008A4439">
        <w:rPr>
          <w:rFonts w:eastAsia="Calibri"/>
        </w:rPr>
        <w:t>Подрядчик по согласованию с Заказчиком может выполнить работы досрочно.</w:t>
      </w:r>
      <w:bookmarkEnd w:id="125"/>
      <w:bookmarkEnd w:id="126"/>
    </w:p>
    <w:p w14:paraId="764DD6A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7" w:name="_Toc150414176"/>
      <w:bookmarkStart w:id="128" w:name="_Toc169684943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7"/>
      <w:bookmarkEnd w:id="128"/>
    </w:p>
    <w:p w14:paraId="19B104D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712C5E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9" w:name="P73"/>
      <w:bookmarkEnd w:id="129"/>
      <w:r w:rsidRPr="00C807DE">
        <w:rPr>
          <w:rFonts w:eastAsia="Calibri"/>
        </w:rPr>
        <w:t>3.1.</w:t>
      </w:r>
      <w:r w:rsidRPr="00C807DE">
        <w:rPr>
          <w:rFonts w:eastAsia="Calibri"/>
        </w:rPr>
        <w:tab/>
        <w:t xml:space="preserve">Стоимость работ по настоящему договору составляет ______________ руб. (_______________________________), в том числе НДС 20% _____________ 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3.2. Оплата выполненных работ производится Заказчиком не позднее 7 (семи) рабочих дней со дня подписания сторонами Акта приемки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0" w:name="_Toc150414177"/>
      <w:bookmarkStart w:id="131" w:name="_Toc169684944"/>
      <w:r w:rsidRPr="00C807DE">
        <w:rPr>
          <w:rFonts w:eastAsia="Calibri"/>
        </w:rPr>
        <w:t>4. ПРАВА И ОБЯЗАННОСТИ СТОРОН</w:t>
      </w:r>
      <w:bookmarkEnd w:id="130"/>
      <w:bookmarkEnd w:id="131"/>
    </w:p>
    <w:p w14:paraId="1789F11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4.1.2.Обеспечить качественное выполнение работ в соответствии с действующими нормами и 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6D57C570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F1D27">
        <w:rPr>
          <w:rFonts w:eastAsia="Calibri"/>
        </w:rPr>
        <w:t>4.1.5. Проложить п</w:t>
      </w:r>
      <w:r w:rsidR="00711EBB" w:rsidRPr="00CF1D27">
        <w:rPr>
          <w:rFonts w:eastAsia="Calibri"/>
        </w:rPr>
        <w:t xml:space="preserve">олиэтиленовые трубы </w:t>
      </w:r>
      <w:r w:rsidR="00711EBB" w:rsidRPr="00CF1D27">
        <w:rPr>
          <w:rFonts w:eastAsia="Calibri"/>
          <w:color w:val="0000FF"/>
        </w:rPr>
        <w:t>диаметром 16</w:t>
      </w:r>
      <w:r w:rsidRPr="00CF1D27">
        <w:rPr>
          <w:rFonts w:eastAsia="Calibri"/>
          <w:color w:val="0000FF"/>
        </w:rPr>
        <w:t xml:space="preserve">0 мм </w:t>
      </w:r>
      <w:r w:rsidRPr="00CF1D27">
        <w:rPr>
          <w:rFonts w:eastAsia="Calibri"/>
        </w:rPr>
        <w:t>методом ГНБ в объеме работ согласно Приложению № 2 к настоящему Договору.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lastRenderedPageBreak/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4.3.6.Подготовить котлованы для ГНБ.</w:t>
      </w:r>
    </w:p>
    <w:p w14:paraId="371BB6F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4.3.7.Засыпать котлованы после проведения Подрядчиком работ.</w:t>
      </w:r>
    </w:p>
    <w:p w14:paraId="3D475A6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2" w:name="_Toc150414178"/>
      <w:bookmarkStart w:id="133" w:name="_Toc169684945"/>
      <w:r w:rsidRPr="00C807DE">
        <w:rPr>
          <w:rFonts w:eastAsia="Calibri"/>
        </w:rPr>
        <w:t>5. УСЛОВИЯ ВЫПОЛНЕНИЯ РАБОТ И ГАРАНТИЙНЫЕ ОБЯЗАТЕЛЬСТВА</w:t>
      </w:r>
      <w:bookmarkEnd w:id="132"/>
      <w:bookmarkEnd w:id="133"/>
    </w:p>
    <w:p w14:paraId="3E7086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77777777" w:rsidR="00BF070C" w:rsidRPr="00C807DE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4" w:name="_Toc99626844"/>
      <w:bookmarkStart w:id="135" w:name="_Toc150414179"/>
      <w:bookmarkStart w:id="136" w:name="_Toc169684946"/>
      <w:r w:rsidRPr="00C807DE">
        <w:rPr>
          <w:bCs/>
          <w:kern w:val="1"/>
          <w:lang w:eastAsia="ar-SA"/>
        </w:rPr>
        <w:t xml:space="preserve">-  </w:t>
      </w:r>
      <w:r w:rsidRPr="00C807DE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4"/>
      <w:bookmarkEnd w:id="135"/>
      <w:bookmarkEnd w:id="136"/>
    </w:p>
    <w:p w14:paraId="400B5CC3" w14:textId="77777777" w:rsidR="00BF070C" w:rsidRPr="00C807DE" w:rsidRDefault="00BF070C" w:rsidP="00BF070C">
      <w:pPr>
        <w:ind w:right="130"/>
        <w:jc w:val="both"/>
      </w:pPr>
      <w:r w:rsidRPr="00C807DE">
        <w:rPr>
          <w:bCs/>
          <w:color w:val="000000"/>
          <w:kern w:val="1"/>
          <w:lang w:eastAsia="ar-SA"/>
        </w:rPr>
        <w:t xml:space="preserve">- </w:t>
      </w:r>
      <w:r w:rsidRPr="00C807DE">
        <w:t>СП 341.1325800.2017. Свод правил. Подземные инженерные коммуникации. Прокладка горизонтальным направленным бурением"</w:t>
      </w:r>
    </w:p>
    <w:p w14:paraId="0EF28CFE" w14:textId="77777777" w:rsidR="00BF070C" w:rsidRPr="00C807DE" w:rsidRDefault="00BF070C" w:rsidP="00BF070C">
      <w:pPr>
        <w:ind w:left="57" w:right="132"/>
        <w:jc w:val="both"/>
      </w:pPr>
      <w:r w:rsidRPr="00C807DE">
        <w:t>- СНиП 12-03-2001, СНиП 12-04-2002 "Безопасность труда в строительстве"</w:t>
      </w:r>
    </w:p>
    <w:p w14:paraId="0A17B22F" w14:textId="77777777" w:rsidR="00BF070C" w:rsidRPr="00C807DE" w:rsidRDefault="00BF070C" w:rsidP="00BF070C">
      <w:pPr>
        <w:keepNext/>
        <w:suppressAutoHyphens/>
        <w:ind w:left="432" w:hanging="432"/>
        <w:jc w:val="both"/>
        <w:outlineLvl w:val="0"/>
        <w:rPr>
          <w:bCs/>
          <w:color w:val="000000"/>
          <w:kern w:val="1"/>
        </w:rPr>
      </w:pPr>
      <w:bookmarkStart w:id="137" w:name="_Toc150414180"/>
      <w:bookmarkStart w:id="138" w:name="_Toc169684947"/>
      <w:r w:rsidRPr="00C807DE">
        <w:t>- При работе вблизи линий электропередач необходимо соблюдать меры электробезопасности, пожарной безопасности (СНиП 12-03-2001, СНиП 12-04-2002)</w:t>
      </w:r>
      <w:bookmarkEnd w:id="137"/>
      <w:bookmarkEnd w:id="138"/>
    </w:p>
    <w:p w14:paraId="4A1B7A9B" w14:textId="77777777" w:rsidR="00BF070C" w:rsidRPr="00C807DE" w:rsidRDefault="00BF070C" w:rsidP="00BF070C">
      <w:pPr>
        <w:widowControl w:val="0"/>
        <w:suppressAutoHyphens/>
        <w:autoSpaceDE w:val="0"/>
        <w:ind w:left="57" w:right="132"/>
        <w:jc w:val="both"/>
        <w:rPr>
          <w:lang w:eastAsia="ar-SA"/>
        </w:rPr>
      </w:pPr>
      <w:r w:rsidRPr="00C807DE">
        <w:rPr>
          <w:lang w:eastAsia="ar-SA"/>
        </w:rPr>
        <w:t>- СНиП 12-03-2001, СНиП 12-04-2002 "Безопасность труда в строительстве".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77777777" w:rsidR="00BF070C" w:rsidRPr="00C807DE" w:rsidRDefault="00BF070C" w:rsidP="00BF070C">
      <w:pPr>
        <w:jc w:val="both"/>
      </w:pPr>
      <w:r w:rsidRPr="00C807DE"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>
        <w:t>3</w:t>
      </w:r>
      <w:r w:rsidRPr="00C807DE">
        <w:t xml:space="preserve"> года.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C807DE">
        <w:t>5.5. Гарантийный срок</w:t>
      </w:r>
      <w:r w:rsidR="00CD5387">
        <w:t>,</w:t>
      </w:r>
      <w:r w:rsidRPr="00C807DE">
        <w:t xml:space="preserve"> на выполненные Подрядчиком работы</w:t>
      </w:r>
      <w:r w:rsidR="00CD5387">
        <w:t>,</w:t>
      </w:r>
      <w:r w:rsidRPr="00C807DE">
        <w:t xml:space="preserve"> составляет 12 месяцев с момента подписания Акта о приемке выполне</w:t>
      </w:r>
      <w:r>
        <w:t xml:space="preserve">нных работ. </w:t>
      </w:r>
      <w:r w:rsidRPr="00C807DE">
        <w:t xml:space="preserve">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lastRenderedPageBreak/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C807DE" w:rsidRDefault="00BF070C" w:rsidP="00BF070C">
      <w:pPr>
        <w:ind w:firstLine="426"/>
        <w:jc w:val="both"/>
        <w:rPr>
          <w:b/>
        </w:rPr>
      </w:pPr>
    </w:p>
    <w:p w14:paraId="4007445F" w14:textId="77777777" w:rsidR="00BF070C" w:rsidRPr="00CD18CD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>
        <w:t xml:space="preserve"> </w:t>
      </w: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7E9B23E5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 замечаний – предусмотренные п. </w:t>
      </w:r>
      <w:proofErr w:type="gramStart"/>
      <w:r w:rsidRPr="00C807DE">
        <w:t>6.2.,</w:t>
      </w:r>
      <w:proofErr w:type="gramEnd"/>
      <w:r w:rsidRPr="00C807DE">
        <w:t xml:space="preserve"> 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t>ОТВЕТСТВЕННОСТЬ СТОРОН</w:t>
      </w:r>
    </w:p>
    <w:p w14:paraId="28464B5A" w14:textId="77777777" w:rsidR="00BF070C" w:rsidRPr="00C807DE" w:rsidRDefault="00BF070C" w:rsidP="00BF070C"/>
    <w:p w14:paraId="2BC57EC2" w14:textId="20BD07CC" w:rsidR="00BF070C" w:rsidRPr="00C807DE" w:rsidRDefault="00BF070C" w:rsidP="00BF070C">
      <w:pPr>
        <w:jc w:val="both"/>
      </w:pPr>
      <w:r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BF070C">
      <w:pPr>
        <w:numPr>
          <w:ilvl w:val="1"/>
          <w:numId w:val="36"/>
        </w:numPr>
        <w:ind w:left="0" w:firstLine="0"/>
        <w:jc w:val="both"/>
      </w:pPr>
      <w:r w:rsidRPr="00C807DE">
        <w:lastRenderedPageBreak/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9" w:name="_Toc150414181"/>
      <w:bookmarkStart w:id="140" w:name="_Toc169684948"/>
      <w:r w:rsidRPr="00C807DE">
        <w:rPr>
          <w:rFonts w:eastAsia="Calibri"/>
        </w:rPr>
        <w:t>СРОК ДЕЙСТВИЯ ДОГОВОРА. ИЗМЕНЕНИЕ ДОГОВОРА</w:t>
      </w:r>
      <w:bookmarkEnd w:id="139"/>
      <w:bookmarkEnd w:id="140"/>
    </w:p>
    <w:p w14:paraId="7D2D6018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</w:rPr>
      </w:pPr>
    </w:p>
    <w:p w14:paraId="50CC64EA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1" w:name="_Toc150414182"/>
      <w:bookmarkStart w:id="142" w:name="_Toc169684949"/>
      <w:r w:rsidRPr="00C807DE">
        <w:rPr>
          <w:rFonts w:eastAsia="Calibri"/>
        </w:rPr>
        <w:t>8.1.</w:t>
      </w:r>
      <w:r w:rsidRPr="00C807DE">
        <w:rPr>
          <w:rFonts w:eastAsia="Calibri"/>
        </w:rPr>
        <w:tab/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41"/>
      <w:bookmarkEnd w:id="142"/>
    </w:p>
    <w:p w14:paraId="4C4849F0" w14:textId="053FE85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3" w:name="_Toc150414183"/>
      <w:bookmarkStart w:id="144" w:name="_Toc169684950"/>
      <w:r w:rsidRPr="00C807DE">
        <w:rPr>
          <w:rFonts w:eastAsia="Calibri"/>
        </w:rPr>
        <w:t>8.2.</w:t>
      </w:r>
      <w:r w:rsidRPr="00C807DE">
        <w:rPr>
          <w:rFonts w:eastAsia="Calibri"/>
        </w:rPr>
        <w:tab/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3"/>
      <w:bookmarkEnd w:id="144"/>
      <w:r w:rsidR="006633BF">
        <w:rPr>
          <w:rFonts w:eastAsia="Calibri"/>
        </w:rPr>
        <w:t>.</w:t>
      </w:r>
    </w:p>
    <w:p w14:paraId="0C49495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5" w:name="_Toc150414184"/>
      <w:bookmarkStart w:id="146" w:name="_Toc169684951"/>
      <w:r w:rsidRPr="00C807DE">
        <w:rPr>
          <w:rFonts w:eastAsia="Calibri"/>
        </w:rPr>
        <w:t>ОБСТОЯТЕЛЬСТВА НЕПРЕОДОЛИМОЙ СИЛЫ (ФОРС-МАЖОР)</w:t>
      </w:r>
      <w:bookmarkEnd w:id="145"/>
      <w:bookmarkEnd w:id="146"/>
    </w:p>
    <w:p w14:paraId="25A95BDA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D356F78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 xml:space="preserve">9.1. 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7" w:name="Par3"/>
      <w:bookmarkEnd w:id="147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8" w:name="Par4"/>
      <w:bookmarkEnd w:id="148"/>
      <w:r w:rsidRPr="00C807DE">
        <w:rPr>
          <w:rFonts w:eastAsia="Arial Unicode MS"/>
        </w:rPr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 xml:space="preserve">.2 настоящего Договора с соблюдением принципов конфиденциальности и применение эффективных мер по предотвращению возможных конфликтных ситуаций. </w:t>
      </w:r>
      <w:r w:rsidRPr="00C807DE">
        <w:rPr>
          <w:rFonts w:eastAsia="Arial Unicode MS"/>
        </w:rPr>
        <w:lastRenderedPageBreak/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spacing w:before="160" w:after="100"/>
        <w:jc w:val="center"/>
        <w:outlineLvl w:val="0"/>
        <w:rPr>
          <w:rFonts w:eastAsia="Calibri"/>
        </w:rPr>
      </w:pPr>
      <w:bookmarkStart w:id="149" w:name="_Toc150414185"/>
      <w:bookmarkStart w:id="150" w:name="_Toc169684952"/>
      <w:r w:rsidRPr="00C807DE">
        <w:rPr>
          <w:rFonts w:eastAsia="Calibri"/>
        </w:rPr>
        <w:t>11. ПРОЧИЕ УСЛОВИЯ</w:t>
      </w:r>
      <w:bookmarkEnd w:id="149"/>
      <w:bookmarkEnd w:id="150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5ADD24BA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F100AA">
        <w:rPr>
          <w:rFonts w:eastAsia="Calibri"/>
        </w:rPr>
        <w:t>.</w:t>
      </w:r>
    </w:p>
    <w:p w14:paraId="0BE915B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51" w:name="_Toc133475863"/>
      <w:bookmarkStart w:id="152" w:name="_Toc169684953"/>
      <w:r w:rsidRPr="00C807DE">
        <w:t>12. АДРЕСА, РЕКВИЗИТЫ И ПОДПИСИ СТОРОН</w:t>
      </w:r>
      <w:bookmarkEnd w:id="151"/>
      <w:bookmarkEnd w:id="152"/>
    </w:p>
    <w:p w14:paraId="080A0CE4" w14:textId="3A8D94D3" w:rsidR="00B4064D" w:rsidRPr="00E86BDA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E86BDA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86BDA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086A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  <w:lang w:val="en-US"/>
              </w:rPr>
              <w:t>e</w:t>
            </w:r>
            <w:r w:rsidRPr="00086A88">
              <w:rPr>
                <w:rFonts w:eastAsia="Calibri"/>
                <w:lang w:val="en-US"/>
              </w:rPr>
              <w:t>-</w:t>
            </w:r>
            <w:r w:rsidRPr="00E86BDA">
              <w:rPr>
                <w:rFonts w:eastAsia="Calibri"/>
                <w:lang w:val="en-US"/>
              </w:rPr>
              <w:t>mail</w:t>
            </w:r>
            <w:r w:rsidRPr="00086A88">
              <w:rPr>
                <w:rFonts w:eastAsia="Calibri"/>
                <w:lang w:val="en-US"/>
              </w:rPr>
              <w:t xml:space="preserve"> </w:t>
            </w:r>
            <w:hyperlink r:id="rId31" w:history="1"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Pr="00086A88">
                <w:rPr>
                  <w:rFonts w:eastAsia="Calibri"/>
                  <w:color w:val="0000FF"/>
                  <w:u w:val="single"/>
                  <w:lang w:val="en-US"/>
                </w:rPr>
                <w:t>@</w:t>
              </w:r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muromges</w:t>
              </w:r>
              <w:r w:rsidRPr="00086A88">
                <w:rPr>
                  <w:rFonts w:eastAsia="Calibri"/>
                  <w:color w:val="0000FF"/>
                  <w:u w:val="single"/>
                  <w:lang w:val="en-US"/>
                </w:rPr>
                <w:t>.</w:t>
              </w:r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  <w:r w:rsidRPr="00086A88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086A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</w:rPr>
              <w:t>ОГРН</w:t>
            </w:r>
            <w:r w:rsidRPr="00086A88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р/с 40702810802000136104</w:t>
            </w:r>
          </w:p>
          <w:p w14:paraId="00B4E089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г. Ярославль</w:t>
            </w:r>
          </w:p>
          <w:p w14:paraId="1EB2D604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к/с 30101810300000000760</w:t>
            </w:r>
          </w:p>
          <w:p w14:paraId="370B033C" w14:textId="247EB5CF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БИК 047888760</w:t>
            </w:r>
          </w:p>
          <w:p w14:paraId="3C87E100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Директор МУП «Горэлектросеть»</w:t>
            </w:r>
          </w:p>
          <w:p w14:paraId="43CF8C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 xml:space="preserve">__________________ А.Ю. </w:t>
            </w:r>
            <w:proofErr w:type="spellStart"/>
            <w:r w:rsidRPr="00E86BDA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«_____»</w:t>
            </w:r>
            <w:r w:rsidRPr="00E86BDA">
              <w:rPr>
                <w:rFonts w:eastAsia="Calibri"/>
                <w:lang w:eastAsia="en-US"/>
              </w:rPr>
              <w:t>_____________</w:t>
            </w:r>
            <w:r w:rsidR="00475B88" w:rsidRPr="00E86BDA">
              <w:rPr>
                <w:rFonts w:eastAsia="Calibri"/>
              </w:rPr>
              <w:t xml:space="preserve"> 2024</w:t>
            </w:r>
            <w:r w:rsidRPr="00E86BDA">
              <w:rPr>
                <w:rFonts w:eastAsia="Calibri"/>
              </w:rPr>
              <w:t>г.</w:t>
            </w:r>
          </w:p>
          <w:p w14:paraId="73D8999D" w14:textId="77777777" w:rsidR="00B4064D" w:rsidRPr="00E86BDA" w:rsidRDefault="00B4064D" w:rsidP="00B4064D">
            <w:pPr>
              <w:rPr>
                <w:rFonts w:eastAsia="Calibri"/>
              </w:rPr>
            </w:pPr>
            <w:r w:rsidRPr="00E86BDA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243675" w:rsidRDefault="00BF070C" w:rsidP="00BF070C">
            <w:pPr>
              <w:jc w:val="center"/>
              <w:rPr>
                <w:rFonts w:eastAsia="Calibri"/>
                <w:b/>
              </w:rPr>
            </w:pPr>
            <w:r w:rsidRPr="00243675">
              <w:rPr>
                <w:rFonts w:eastAsia="Calibri"/>
                <w:b/>
              </w:rPr>
              <w:t>Подрядчик</w:t>
            </w:r>
          </w:p>
          <w:p w14:paraId="578A04EF" w14:textId="075CAB50" w:rsidR="00B4064D" w:rsidRPr="00E86BDA" w:rsidRDefault="00B4064D" w:rsidP="00B4064D">
            <w:pPr>
              <w:jc w:val="center"/>
              <w:rPr>
                <w:rFonts w:eastAsia="Calibri"/>
                <w:b/>
              </w:rPr>
            </w:pPr>
          </w:p>
          <w:p w14:paraId="53161DC5" w14:textId="77777777" w:rsidR="00B4064D" w:rsidRPr="00E86BDA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3" w:name="_Toc136518232"/>
            <w:bookmarkStart w:id="154" w:name="_Toc169684954"/>
            <w:r w:rsidRPr="00E86BDA">
              <w:rPr>
                <w:b/>
                <w:bCs/>
              </w:rPr>
              <w:t>__________________________________</w:t>
            </w:r>
            <w:bookmarkEnd w:id="153"/>
            <w:bookmarkEnd w:id="154"/>
          </w:p>
          <w:p w14:paraId="128101BC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7A2C43BD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0F2F9D94" w14:textId="77777777" w:rsidR="00B4064D" w:rsidRPr="00E86BDA" w:rsidRDefault="00B4064D" w:rsidP="00B4064D">
            <w:r w:rsidRPr="00E86BDA">
              <w:t>тел. ______________________________</w:t>
            </w:r>
          </w:p>
          <w:p w14:paraId="30BCEA3E" w14:textId="77777777" w:rsidR="00B4064D" w:rsidRPr="00E86BDA" w:rsidRDefault="00B4064D" w:rsidP="00B4064D">
            <w:r w:rsidRPr="00E86BDA">
              <w:t>е-</w:t>
            </w:r>
            <w:r w:rsidRPr="00E86BDA">
              <w:rPr>
                <w:lang w:val="en-US"/>
              </w:rPr>
              <w:t>mail</w:t>
            </w:r>
            <w:r w:rsidRPr="00E86BDA">
              <w:t xml:space="preserve"> ____________________________</w:t>
            </w:r>
          </w:p>
          <w:p w14:paraId="5A731E32" w14:textId="77777777" w:rsidR="00B4064D" w:rsidRPr="00E86BDA" w:rsidRDefault="00B4064D" w:rsidP="00B4064D">
            <w:r w:rsidRPr="00E86BDA">
              <w:t>ОГРН ____________________________</w:t>
            </w:r>
          </w:p>
          <w:p w14:paraId="0D5A3D8F" w14:textId="77777777" w:rsidR="00B4064D" w:rsidRPr="00E86BDA" w:rsidRDefault="00B4064D" w:rsidP="00B4064D">
            <w:r w:rsidRPr="00E86BDA">
              <w:t>ИНН/КПП ______________/__________</w:t>
            </w:r>
          </w:p>
          <w:p w14:paraId="59F83ECF" w14:textId="77777777" w:rsidR="00B4064D" w:rsidRPr="00E86BDA" w:rsidRDefault="00B4064D" w:rsidP="00B4064D">
            <w:r w:rsidRPr="00E86BDA">
              <w:t>р/с _______________________________</w:t>
            </w:r>
          </w:p>
          <w:p w14:paraId="238E7D51" w14:textId="77777777" w:rsidR="00B4064D" w:rsidRPr="00E86BDA" w:rsidRDefault="00B4064D" w:rsidP="00B4064D">
            <w:r w:rsidRPr="00E86BDA">
              <w:t>__________________________________</w:t>
            </w:r>
          </w:p>
          <w:p w14:paraId="2C6A5868" w14:textId="77777777" w:rsidR="00B4064D" w:rsidRPr="00E86BDA" w:rsidRDefault="00B4064D" w:rsidP="00B4064D">
            <w:r w:rsidRPr="00E86BDA">
              <w:t>к/с _______________________________</w:t>
            </w:r>
          </w:p>
          <w:p w14:paraId="06CE484E" w14:textId="77777777" w:rsidR="00B4064D" w:rsidRPr="00E86BDA" w:rsidRDefault="00B4064D" w:rsidP="00B4064D">
            <w:r w:rsidRPr="00E86BDA">
              <w:t>БИК ______________________________</w:t>
            </w:r>
          </w:p>
          <w:p w14:paraId="6C0C656A" w14:textId="77777777" w:rsidR="00B4064D" w:rsidRPr="00E86BDA" w:rsidRDefault="00B4064D" w:rsidP="00B4064D"/>
          <w:p w14:paraId="329B84F3" w14:textId="77777777" w:rsidR="00B4064D" w:rsidRPr="00E86BDA" w:rsidRDefault="00B4064D" w:rsidP="00B4064D">
            <w:r w:rsidRPr="00E86BDA">
              <w:t>______________________________</w:t>
            </w:r>
          </w:p>
          <w:p w14:paraId="1348386B" w14:textId="77777777" w:rsidR="00B4064D" w:rsidRPr="00E86BDA" w:rsidRDefault="00B4064D" w:rsidP="00B4064D"/>
          <w:p w14:paraId="54A9280D" w14:textId="77777777" w:rsidR="00B4064D" w:rsidRPr="00E86BDA" w:rsidRDefault="00B4064D" w:rsidP="00B4064D">
            <w:r w:rsidRPr="00E86BDA">
              <w:t>____________________ _______________</w:t>
            </w:r>
          </w:p>
          <w:p w14:paraId="787269FD" w14:textId="75AD1924" w:rsidR="00B4064D" w:rsidRPr="00E86BDA" w:rsidRDefault="00B4064D" w:rsidP="00B4064D">
            <w:r w:rsidRPr="00E86BDA">
              <w:t>«_____»_____________ 202</w:t>
            </w:r>
            <w:r w:rsidR="00475B88" w:rsidRPr="00E86BDA">
              <w:t>4</w:t>
            </w:r>
            <w:r w:rsidRPr="00E86BDA">
              <w:t>г.</w:t>
            </w:r>
          </w:p>
          <w:p w14:paraId="585904FF" w14:textId="77777777" w:rsidR="00B4064D" w:rsidRPr="00E86BDA" w:rsidRDefault="00B4064D" w:rsidP="00B4064D">
            <w:pPr>
              <w:autoSpaceDE w:val="0"/>
              <w:autoSpaceDN w:val="0"/>
              <w:adjustRightInd w:val="0"/>
            </w:pPr>
            <w:r w:rsidRPr="00E86BDA">
              <w:t>М.П.</w:t>
            </w:r>
          </w:p>
        </w:tc>
      </w:tr>
    </w:tbl>
    <w:p w14:paraId="790C2F9E" w14:textId="77777777" w:rsidR="007B0B18" w:rsidRDefault="007B0B18" w:rsidP="00AC4950">
      <w:pPr>
        <w:rPr>
          <w:rFonts w:eastAsia="Calibri"/>
          <w:b/>
          <w:i/>
          <w:sz w:val="25"/>
          <w:szCs w:val="25"/>
        </w:rPr>
      </w:pPr>
    </w:p>
    <w:p w14:paraId="15E1D62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E0A94D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CCBA55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66D8940" w14:textId="77777777" w:rsidR="001243A8" w:rsidRDefault="001243A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6BB6D06D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D03DD">
        <w:rPr>
          <w:rFonts w:eastAsia="Calibri"/>
          <w:b/>
          <w:i/>
          <w:sz w:val="25"/>
          <w:szCs w:val="25"/>
        </w:rPr>
        <w:t>5</w:t>
      </w:r>
      <w:r w:rsidR="00267015">
        <w:rPr>
          <w:rFonts w:eastAsia="Calibri"/>
          <w:b/>
          <w:i/>
          <w:sz w:val="25"/>
          <w:szCs w:val="25"/>
        </w:rPr>
        <w:t>6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1415"/>
        <w:gridCol w:w="2126"/>
      </w:tblGrid>
      <w:tr w:rsidR="00267015" w:rsidRPr="00B91466" w14:paraId="5A6FD81C" w14:textId="77777777" w:rsidTr="000B4C7F">
        <w:trPr>
          <w:trHeight w:val="1140"/>
        </w:trPr>
        <w:tc>
          <w:tcPr>
            <w:tcW w:w="6802" w:type="dxa"/>
            <w:shd w:val="clear" w:color="auto" w:fill="auto"/>
            <w:noWrap/>
            <w:vAlign w:val="center"/>
            <w:hideMark/>
          </w:tcPr>
          <w:p w14:paraId="2ADBC37C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BE73361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AAE714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267015" w:rsidRPr="00B91466" w14:paraId="76B385AA" w14:textId="77777777" w:rsidTr="000B4C7F">
        <w:trPr>
          <w:trHeight w:val="300"/>
        </w:trPr>
        <w:tc>
          <w:tcPr>
            <w:tcW w:w="6802" w:type="dxa"/>
            <w:shd w:val="clear" w:color="auto" w:fill="auto"/>
            <w:noWrap/>
            <w:vAlign w:val="bottom"/>
          </w:tcPr>
          <w:p w14:paraId="0FC28F1B" w14:textId="77777777" w:rsidR="00267015" w:rsidRPr="00B91466" w:rsidRDefault="00267015" w:rsidP="000B4C7F">
            <w:pPr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FE3ADE">
              <w:rPr>
                <w:b/>
                <w:bCs/>
                <w:color w:val="000000"/>
              </w:rPr>
              <w:t>кВ</w:t>
            </w:r>
            <w:proofErr w:type="spellEnd"/>
            <w:r w:rsidRPr="00FE3ADE">
              <w:rPr>
                <w:b/>
                <w:bCs/>
                <w:color w:val="000000"/>
              </w:rPr>
              <w:t xml:space="preserve"> КТП206-нежилое здание по ул. Куликова,1а</w:t>
            </w: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35F8A59F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EF6A20D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67015" w:rsidRPr="00B91466" w14:paraId="7B785129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601BCCC2" w14:textId="77777777" w:rsidR="00267015" w:rsidRPr="00B91466" w:rsidRDefault="00267015" w:rsidP="000B4C7F">
            <w:pPr>
              <w:jc w:val="right"/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>ул. С</w:t>
            </w:r>
            <w:r>
              <w:rPr>
                <w:b/>
                <w:bCs/>
                <w:color w:val="000000"/>
              </w:rPr>
              <w:t>оветская, в районе ул. Парковая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258B0E03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>2ПНД160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2A55344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280866" w:rsidRPr="00B91466" w14:paraId="4B3CBE1B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14918348" w14:textId="1ADA548A" w:rsidR="00280866" w:rsidRPr="00FE3ADE" w:rsidRDefault="00280866" w:rsidP="00280866">
            <w:pPr>
              <w:rPr>
                <w:b/>
                <w:bCs/>
                <w:color w:val="000000"/>
              </w:rPr>
            </w:pPr>
            <w:r w:rsidRPr="00280866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280866">
              <w:rPr>
                <w:b/>
                <w:bCs/>
                <w:color w:val="000000"/>
              </w:rPr>
              <w:t>кВ</w:t>
            </w:r>
            <w:proofErr w:type="spellEnd"/>
            <w:r w:rsidRPr="00280866">
              <w:rPr>
                <w:b/>
                <w:bCs/>
                <w:color w:val="000000"/>
              </w:rPr>
              <w:t xml:space="preserve"> с ВЛ КТП 155 -по ул. </w:t>
            </w:r>
            <w:proofErr w:type="spellStart"/>
            <w:r w:rsidRPr="00280866">
              <w:rPr>
                <w:b/>
                <w:bCs/>
                <w:color w:val="000000"/>
              </w:rPr>
              <w:t>Л.Толстого</w:t>
            </w:r>
            <w:proofErr w:type="spellEnd"/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2D661F93" w14:textId="77777777" w:rsidR="00280866" w:rsidRPr="00FE3ADE" w:rsidRDefault="00280866" w:rsidP="000B4C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1D609A4" w14:textId="77777777" w:rsidR="00280866" w:rsidRDefault="00280866" w:rsidP="000B4C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67015" w:rsidRPr="00B91466" w14:paraId="3566B40C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51CE7C97" w14:textId="178F553E" w:rsidR="00267015" w:rsidRDefault="00280866" w:rsidP="000B4C7F">
            <w:pPr>
              <w:jc w:val="right"/>
              <w:rPr>
                <w:b/>
                <w:bCs/>
                <w:color w:val="000000"/>
              </w:rPr>
            </w:pPr>
            <w:r w:rsidRPr="00280866">
              <w:rPr>
                <w:b/>
                <w:bCs/>
                <w:color w:val="000000"/>
              </w:rPr>
              <w:t xml:space="preserve">перекресток </w:t>
            </w:r>
            <w:proofErr w:type="spellStart"/>
            <w:r w:rsidRPr="00280866">
              <w:rPr>
                <w:b/>
                <w:bCs/>
                <w:color w:val="000000"/>
              </w:rPr>
              <w:t>ул.Коммунистическая</w:t>
            </w:r>
            <w:proofErr w:type="spellEnd"/>
            <w:r w:rsidRPr="00280866">
              <w:rPr>
                <w:b/>
                <w:bCs/>
                <w:color w:val="000000"/>
              </w:rPr>
              <w:t xml:space="preserve"> - </w:t>
            </w:r>
            <w:proofErr w:type="spellStart"/>
            <w:r w:rsidRPr="00280866">
              <w:rPr>
                <w:b/>
                <w:bCs/>
                <w:color w:val="000000"/>
              </w:rPr>
              <w:t>ул.Л.Толстого</w:t>
            </w:r>
            <w:proofErr w:type="spellEnd"/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798E9FDE" w14:textId="77777777" w:rsidR="00267015" w:rsidRPr="001806DF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FE3ADE">
              <w:rPr>
                <w:b/>
                <w:bCs/>
                <w:color w:val="000000"/>
              </w:rPr>
              <w:t>2ПНД160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F9800E1" w14:textId="77777777" w:rsidR="00267015" w:rsidRDefault="00267015" w:rsidP="000B4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2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243675" w:rsidRDefault="00B4064D" w:rsidP="00267015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</w:t>
            </w:r>
            <w:r w:rsidR="00267015" w:rsidRPr="00243675">
              <w:rPr>
                <w:rFonts w:eastAsia="Calibri"/>
                <w:b/>
              </w:rPr>
              <w:t>одрядчик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5" w:name="_Toc136518233"/>
            <w:bookmarkStart w:id="156" w:name="_Toc169684955"/>
            <w:r w:rsidRPr="00B4064D">
              <w:rPr>
                <w:b/>
                <w:bCs/>
              </w:rPr>
              <w:t>__________________________________</w:t>
            </w:r>
            <w:bookmarkEnd w:id="155"/>
            <w:bookmarkEnd w:id="156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A8249E1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3590425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7900DD40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134C9FA" w14:textId="77777777" w:rsidR="00CE273F" w:rsidRPr="00B4064D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7F1AC6E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33741C8" w14:textId="77777777" w:rsidR="001243A8" w:rsidRDefault="001243A8" w:rsidP="00B4064D">
      <w:pPr>
        <w:rPr>
          <w:rFonts w:eastAsia="Calibri"/>
          <w:b/>
          <w:i/>
          <w:sz w:val="25"/>
          <w:szCs w:val="25"/>
        </w:rPr>
      </w:pPr>
    </w:p>
    <w:p w14:paraId="49E34DDA" w14:textId="77777777" w:rsidR="001243A8" w:rsidRDefault="001243A8" w:rsidP="00B4064D">
      <w:pPr>
        <w:rPr>
          <w:rFonts w:eastAsia="Calibri"/>
          <w:b/>
          <w:i/>
          <w:sz w:val="25"/>
          <w:szCs w:val="25"/>
        </w:rPr>
      </w:pPr>
    </w:p>
    <w:p w14:paraId="302E86E1" w14:textId="77777777" w:rsidR="001243A8" w:rsidRDefault="001243A8" w:rsidP="00B4064D">
      <w:pPr>
        <w:rPr>
          <w:rFonts w:eastAsia="Calibri"/>
          <w:b/>
          <w:i/>
          <w:sz w:val="25"/>
          <w:szCs w:val="25"/>
        </w:rPr>
      </w:pPr>
    </w:p>
    <w:p w14:paraId="7C8FB9CD" w14:textId="77777777" w:rsidR="00E86BDA" w:rsidRDefault="00E86BDA" w:rsidP="00B4064D">
      <w:pPr>
        <w:rPr>
          <w:rFonts w:eastAsia="Calibri"/>
          <w:b/>
          <w:i/>
          <w:sz w:val="25"/>
          <w:szCs w:val="25"/>
        </w:rPr>
      </w:pPr>
    </w:p>
    <w:p w14:paraId="0739B6CF" w14:textId="77777777" w:rsidR="004D03DD" w:rsidRDefault="004D03DD" w:rsidP="00B4064D">
      <w:pPr>
        <w:rPr>
          <w:rFonts w:eastAsia="Calibri"/>
          <w:b/>
          <w:i/>
          <w:sz w:val="25"/>
          <w:szCs w:val="25"/>
        </w:rPr>
      </w:pPr>
    </w:p>
    <w:p w14:paraId="24A67FA4" w14:textId="77777777" w:rsidR="00AC4950" w:rsidRDefault="00AC4950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7D339FF9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4D03DD">
        <w:rPr>
          <w:rFonts w:eastAsia="Calibri"/>
          <w:b/>
          <w:i/>
          <w:sz w:val="25"/>
          <w:szCs w:val="25"/>
        </w:rPr>
        <w:t>5</w:t>
      </w:r>
      <w:r w:rsidR="00707B45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701"/>
        <w:gridCol w:w="1701"/>
        <w:gridCol w:w="2126"/>
      </w:tblGrid>
      <w:tr w:rsidR="00267015" w:rsidRPr="00C807DE" w14:paraId="7CD985D6" w14:textId="77777777" w:rsidTr="000B4C7F">
        <w:tc>
          <w:tcPr>
            <w:tcW w:w="567" w:type="dxa"/>
            <w:vAlign w:val="center"/>
          </w:tcPr>
          <w:p w14:paraId="624EDE72" w14:textId="77777777" w:rsidR="00267015" w:rsidRPr="006C7CC0" w:rsidRDefault="00267015" w:rsidP="000B4C7F">
            <w:pPr>
              <w:ind w:right="3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№</w:t>
            </w:r>
          </w:p>
          <w:p w14:paraId="06B8AFDB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14:paraId="763F225F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701" w:type="dxa"/>
            <w:vAlign w:val="center"/>
          </w:tcPr>
          <w:p w14:paraId="6F169118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FC925DA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6C7CC0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6C7CC0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2126" w:type="dxa"/>
            <w:vAlign w:val="center"/>
          </w:tcPr>
          <w:p w14:paraId="72BDF7D4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Сумма, руб.</w:t>
            </w:r>
          </w:p>
        </w:tc>
      </w:tr>
      <w:tr w:rsidR="00267015" w:rsidRPr="00C807DE" w14:paraId="602D2798" w14:textId="77777777" w:rsidTr="000B4C7F">
        <w:trPr>
          <w:trHeight w:val="2158"/>
        </w:trPr>
        <w:tc>
          <w:tcPr>
            <w:tcW w:w="567" w:type="dxa"/>
            <w:vAlign w:val="center"/>
          </w:tcPr>
          <w:p w14:paraId="3FF04C77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  <w:r w:rsidRPr="00C807D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00B25676" w14:textId="02407B60" w:rsidR="00267015" w:rsidRPr="00C807DE" w:rsidRDefault="00267015" w:rsidP="00CF1D27">
            <w:pPr>
              <w:ind w:right="3"/>
              <w:rPr>
                <w:sz w:val="22"/>
                <w:szCs w:val="22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по </w:t>
            </w:r>
            <w:r>
              <w:rPr>
                <w:sz w:val="23"/>
                <w:szCs w:val="23"/>
              </w:rPr>
              <w:t xml:space="preserve">ул. Советская, в районе ул. Парковая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</w:t>
            </w:r>
            <w:r w:rsidR="00CF1D27">
              <w:rPr>
                <w:sz w:val="23"/>
                <w:szCs w:val="23"/>
              </w:rPr>
              <w:t xml:space="preserve"> 100 </w:t>
            </w:r>
            <w:r w:rsidRPr="00CF1D27">
              <w:rPr>
                <w:sz w:val="23"/>
                <w:szCs w:val="23"/>
                <w:lang w:val="en-US"/>
              </w:rPr>
              <w:t>SDR</w:t>
            </w:r>
            <w:r w:rsidR="00CF1D27">
              <w:rPr>
                <w:sz w:val="23"/>
                <w:szCs w:val="23"/>
              </w:rPr>
              <w:t xml:space="preserve">____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160м</w:t>
            </w:r>
            <w:r w:rsidRPr="00993EAB">
              <w:rPr>
                <w:sz w:val="23"/>
                <w:szCs w:val="23"/>
              </w:rPr>
              <w:t xml:space="preserve">) </w:t>
            </w:r>
          </w:p>
        </w:tc>
        <w:tc>
          <w:tcPr>
            <w:tcW w:w="1701" w:type="dxa"/>
          </w:tcPr>
          <w:p w14:paraId="54ABAF8D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7AA763" w14:textId="77777777" w:rsidR="00267015" w:rsidRDefault="00267015" w:rsidP="000B4C7F">
            <w:pPr>
              <w:jc w:val="center"/>
            </w:pPr>
            <w:r>
              <w:t>2х80</w:t>
            </w:r>
          </w:p>
          <w:p w14:paraId="51746D3C" w14:textId="77777777" w:rsidR="00267015" w:rsidRDefault="00267015" w:rsidP="000B4C7F">
            <w:pPr>
              <w:jc w:val="center"/>
            </w:pPr>
          </w:p>
          <w:p w14:paraId="7A8F82B1" w14:textId="77777777" w:rsidR="00267015" w:rsidRDefault="00267015" w:rsidP="000B4C7F"/>
          <w:p w14:paraId="6E95AFB7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F830393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267015" w:rsidRPr="00C807DE" w14:paraId="1DC04AD3" w14:textId="77777777" w:rsidTr="000B4C7F">
        <w:trPr>
          <w:trHeight w:val="2158"/>
        </w:trPr>
        <w:tc>
          <w:tcPr>
            <w:tcW w:w="567" w:type="dxa"/>
            <w:vAlign w:val="center"/>
          </w:tcPr>
          <w:p w14:paraId="3F54E289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36838653" w14:textId="2E3BDBD7" w:rsidR="00267015" w:rsidRPr="003B49DB" w:rsidRDefault="00267015" w:rsidP="000D29EC">
            <w:pPr>
              <w:ind w:right="3"/>
              <w:rPr>
                <w:sz w:val="22"/>
                <w:szCs w:val="22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20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</w:t>
            </w:r>
            <w:r w:rsidR="000D29EC">
              <w:rPr>
                <w:sz w:val="23"/>
                <w:szCs w:val="23"/>
              </w:rPr>
              <w:t xml:space="preserve"> </w:t>
            </w:r>
            <w:r w:rsidR="000D29EC" w:rsidRPr="000D29EC">
              <w:rPr>
                <w:sz w:val="23"/>
                <w:szCs w:val="23"/>
              </w:rPr>
              <w:t xml:space="preserve">перекресток </w:t>
            </w:r>
            <w:proofErr w:type="spellStart"/>
            <w:r w:rsidR="000D29EC" w:rsidRPr="000D29EC">
              <w:rPr>
                <w:sz w:val="23"/>
                <w:szCs w:val="23"/>
              </w:rPr>
              <w:t>ул.Коммунистическая</w:t>
            </w:r>
            <w:proofErr w:type="spellEnd"/>
            <w:r w:rsidR="000D29EC" w:rsidRPr="000D29EC">
              <w:rPr>
                <w:sz w:val="23"/>
                <w:szCs w:val="23"/>
              </w:rPr>
              <w:t xml:space="preserve"> - </w:t>
            </w:r>
            <w:proofErr w:type="spellStart"/>
            <w:r w:rsidR="000D29EC" w:rsidRPr="000D29EC">
              <w:rPr>
                <w:sz w:val="23"/>
                <w:szCs w:val="23"/>
              </w:rPr>
              <w:t>ул.Л.Толстого</w:t>
            </w:r>
            <w:proofErr w:type="spellEnd"/>
            <w:r w:rsidR="000D29EC">
              <w:rPr>
                <w:sz w:val="23"/>
                <w:szCs w:val="23"/>
              </w:rPr>
              <w:t xml:space="preserve"> </w:t>
            </w:r>
            <w:r w:rsidRPr="00993EAB">
              <w:rPr>
                <w:sz w:val="23"/>
                <w:szCs w:val="23"/>
              </w:rPr>
              <w:t>(для футляра применить трубу полиэтиленовую ПЭ</w:t>
            </w:r>
            <w:r w:rsidR="00CF1D27">
              <w:rPr>
                <w:sz w:val="23"/>
                <w:szCs w:val="23"/>
              </w:rPr>
              <w:t xml:space="preserve"> 100 </w:t>
            </w:r>
            <w:r w:rsidRPr="00CF1D27">
              <w:rPr>
                <w:sz w:val="23"/>
                <w:szCs w:val="23"/>
                <w:lang w:val="en-US"/>
              </w:rPr>
              <w:t>SDR</w:t>
            </w:r>
            <w:r w:rsidR="00CF1D27">
              <w:rPr>
                <w:sz w:val="23"/>
                <w:szCs w:val="23"/>
              </w:rPr>
              <w:t xml:space="preserve">____ </w:t>
            </w:r>
            <w:r w:rsidRPr="00993EAB">
              <w:rPr>
                <w:sz w:val="23"/>
                <w:szCs w:val="23"/>
              </w:rPr>
              <w:t xml:space="preserve">в количестве </w:t>
            </w:r>
            <w:r>
              <w:rPr>
                <w:sz w:val="23"/>
                <w:szCs w:val="23"/>
              </w:rPr>
              <w:t>40</w:t>
            </w:r>
            <w:r w:rsidRPr="00993EAB">
              <w:rPr>
                <w:sz w:val="23"/>
                <w:szCs w:val="23"/>
              </w:rPr>
              <w:t xml:space="preserve"> м)</w:t>
            </w:r>
          </w:p>
        </w:tc>
        <w:tc>
          <w:tcPr>
            <w:tcW w:w="1701" w:type="dxa"/>
          </w:tcPr>
          <w:p w14:paraId="6EC4EED9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40BECBA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  <w:r>
              <w:t>2х20</w:t>
            </w:r>
          </w:p>
        </w:tc>
        <w:tc>
          <w:tcPr>
            <w:tcW w:w="2126" w:type="dxa"/>
            <w:vAlign w:val="center"/>
          </w:tcPr>
          <w:p w14:paraId="288552A5" w14:textId="77777777" w:rsidR="00267015" w:rsidRPr="00C807DE" w:rsidRDefault="00267015" w:rsidP="000B4C7F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267015" w:rsidRPr="00C807DE" w14:paraId="1DA00D35" w14:textId="77777777" w:rsidTr="000B4C7F">
        <w:trPr>
          <w:trHeight w:val="430"/>
        </w:trPr>
        <w:tc>
          <w:tcPr>
            <w:tcW w:w="8222" w:type="dxa"/>
            <w:gridSpan w:val="4"/>
            <w:vAlign w:val="center"/>
          </w:tcPr>
          <w:p w14:paraId="7503540B" w14:textId="77777777" w:rsidR="00267015" w:rsidRPr="000669EE" w:rsidRDefault="00267015" w:rsidP="000B4C7F">
            <w:pPr>
              <w:ind w:right="3"/>
              <w:rPr>
                <w:b/>
                <w:sz w:val="22"/>
                <w:szCs w:val="22"/>
              </w:rPr>
            </w:pPr>
            <w:r w:rsidRPr="000669E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1BBC3092" w14:textId="77777777" w:rsidR="00267015" w:rsidRPr="000669E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lastRenderedPageBreak/>
              <w:t>М.П.</w:t>
            </w:r>
          </w:p>
        </w:tc>
        <w:tc>
          <w:tcPr>
            <w:tcW w:w="5103" w:type="dxa"/>
          </w:tcPr>
          <w:p w14:paraId="7AD5897A" w14:textId="31F06D76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lastRenderedPageBreak/>
              <w:t>П</w:t>
            </w:r>
            <w:r w:rsidR="00711EBB" w:rsidRPr="00711EBB">
              <w:rPr>
                <w:rFonts w:eastAsia="Calibri"/>
                <w:b/>
              </w:rPr>
              <w:t>одрядчик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7" w:name="_Toc136518234"/>
            <w:bookmarkStart w:id="158" w:name="_Toc169684956"/>
            <w:r w:rsidRPr="00B4064D">
              <w:rPr>
                <w:b/>
                <w:bCs/>
              </w:rPr>
              <w:t>__________________________________</w:t>
            </w:r>
            <w:bookmarkEnd w:id="157"/>
            <w:bookmarkEnd w:id="158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0B802D66" w14:textId="446F4363" w:rsidR="00700ECE" w:rsidRPr="00B4064D" w:rsidRDefault="00B4064D" w:rsidP="00FE6A54">
            <w:pPr>
              <w:autoSpaceDE w:val="0"/>
              <w:autoSpaceDN w:val="0"/>
              <w:adjustRightInd w:val="0"/>
            </w:pPr>
            <w:r w:rsidRPr="00B4064D">
              <w:lastRenderedPageBreak/>
              <w:t>М.П.</w:t>
            </w:r>
          </w:p>
        </w:tc>
      </w:tr>
    </w:tbl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59" w:name="_Toc169684957"/>
      <w:bookmarkEnd w:id="115"/>
      <w:bookmarkEnd w:id="116"/>
      <w:bookmarkEnd w:id="117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9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60" w:name="_Письмо_о_подаче"/>
      <w:bookmarkStart w:id="161" w:name="_Заявка_на_участие"/>
      <w:bookmarkStart w:id="162" w:name="_Toc255987071"/>
      <w:bookmarkStart w:id="163" w:name="_Toc291583043"/>
      <w:bookmarkStart w:id="164" w:name="_Toc294620703"/>
      <w:bookmarkStart w:id="165" w:name="_Toc304362491"/>
      <w:bookmarkStart w:id="166" w:name="_Toc305595133"/>
      <w:bookmarkStart w:id="167" w:name="_Toc306184768"/>
      <w:bookmarkEnd w:id="160"/>
      <w:bookmarkEnd w:id="161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94"/>
        <w:gridCol w:w="5825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1C44928A" w:rsidR="00C4649F" w:rsidRPr="00711EBB" w:rsidRDefault="00EB2187" w:rsidP="00EB2187">
            <w:pPr>
              <w:keepNext/>
              <w:ind w:right="-57"/>
              <w:rPr>
                <w:sz w:val="22"/>
                <w:szCs w:val="22"/>
                <w:highlight w:val="cyan"/>
              </w:rPr>
            </w:pPr>
            <w:r w:rsidRPr="00EB2187"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  <w:t>Т</w:t>
            </w:r>
            <w:r w:rsidR="00C4649F" w:rsidRPr="00EB2187"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  <w:t>овар</w:t>
            </w:r>
            <w:r w:rsidRPr="00EB2187">
              <w:rPr>
                <w:color w:val="0000FF"/>
              </w:rPr>
              <w:t xml:space="preserve"> </w:t>
            </w:r>
            <w:r w:rsidRPr="00EB2187"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  <w:t>используемый при производстве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1567"/>
              <w:gridCol w:w="927"/>
              <w:gridCol w:w="1481"/>
            </w:tblGrid>
            <w:tr w:rsidR="00EB2187" w:rsidRPr="00EB2187" w14:paraId="269C2949" w14:textId="77777777" w:rsidTr="00EB2187">
              <w:tc>
                <w:tcPr>
                  <w:tcW w:w="1765" w:type="dxa"/>
                  <w:vAlign w:val="center"/>
                </w:tcPr>
                <w:p w14:paraId="2BB84871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lang w:eastAsia="ar-SA"/>
                    </w:rPr>
                    <w:t>Наименование товара, марка</w:t>
                  </w:r>
                </w:p>
              </w:tc>
              <w:tc>
                <w:tcPr>
                  <w:tcW w:w="1702" w:type="dxa"/>
                  <w:vAlign w:val="center"/>
                </w:tcPr>
                <w:p w14:paraId="57BFEFD7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lang w:eastAsia="ar-SA"/>
                    </w:rPr>
                    <w:t>Производитель,</w:t>
                  </w:r>
                </w:p>
                <w:p w14:paraId="7960EE4F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lang w:eastAsia="ar-SA"/>
                    </w:rPr>
                    <w:t>страна происхождения товара</w:t>
                  </w:r>
                </w:p>
              </w:tc>
              <w:tc>
                <w:tcPr>
                  <w:tcW w:w="998" w:type="dxa"/>
                  <w:vAlign w:val="center"/>
                </w:tcPr>
                <w:p w14:paraId="16A3396C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</w:rPr>
                    <w:t>Дата выпуска товара, месяц, год</w:t>
                  </w:r>
                </w:p>
              </w:tc>
              <w:tc>
                <w:tcPr>
                  <w:tcW w:w="1607" w:type="dxa"/>
                  <w:vAlign w:val="center"/>
                </w:tcPr>
                <w:p w14:paraId="0EDEAD4B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</w:rPr>
                  </w:pPr>
                  <w:r w:rsidRPr="00EB2187">
                    <w:rPr>
                      <w:sz w:val="20"/>
                      <w:szCs w:val="20"/>
                    </w:rPr>
                    <w:t>Срок</w:t>
                  </w:r>
                </w:p>
                <w:p w14:paraId="0FAACD8C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</w:rPr>
                    <w:t>гарантии производителя (мес.)</w:t>
                  </w:r>
                </w:p>
              </w:tc>
            </w:tr>
            <w:tr w:rsidR="00EB2187" w:rsidRPr="00EB2187" w14:paraId="457A8176" w14:textId="77777777" w:rsidTr="00EB2187">
              <w:tc>
                <w:tcPr>
                  <w:tcW w:w="1765" w:type="dxa"/>
                  <w:vAlign w:val="center"/>
                </w:tcPr>
                <w:p w14:paraId="29CAAE8E" w14:textId="77777777" w:rsidR="00EB2187" w:rsidRPr="00EB2187" w:rsidRDefault="00EB2187" w:rsidP="00EB2187">
                  <w:pPr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lang w:eastAsia="ar-SA"/>
                    </w:rPr>
                    <w:t>Трубы безнапорные полиэтиленовые технические</w:t>
                  </w:r>
                </w:p>
                <w:p w14:paraId="5F97558D" w14:textId="6B3D7596" w:rsidR="00EB2187" w:rsidRPr="00EB2187" w:rsidRDefault="00EB2187" w:rsidP="00EB2187">
                  <w:pPr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highlight w:val="yellow"/>
                    </w:rPr>
                    <w:t>ПЭ 100 SDR __</w:t>
                  </w:r>
                </w:p>
              </w:tc>
              <w:tc>
                <w:tcPr>
                  <w:tcW w:w="1702" w:type="dxa"/>
                  <w:vAlign w:val="center"/>
                </w:tcPr>
                <w:p w14:paraId="4BB9E581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14:paraId="35A65331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48D243A9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0B8471B6" w14:textId="777AAD3C" w:rsidR="00C4649F" w:rsidRPr="0052367E" w:rsidRDefault="00C4649F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lastRenderedPageBreak/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9B582A">
              <w:rPr>
                <w:b/>
                <w:sz w:val="22"/>
              </w:rPr>
              <w:t xml:space="preserve">в соответствии с требованиями, указанными в техническом задании </w:t>
            </w:r>
            <w:r w:rsidRPr="009B582A">
              <w:rPr>
                <w:sz w:val="22"/>
              </w:rPr>
              <w:t>(указыв</w:t>
            </w:r>
            <w:r>
              <w:rPr>
                <w:sz w:val="22"/>
              </w:rPr>
              <w:t>ается в соответствии с п.24</w:t>
            </w:r>
            <w:r w:rsidRPr="009B582A">
              <w:rPr>
                <w:sz w:val="22"/>
              </w:rPr>
              <w:t>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2"/>
    <w:bookmarkEnd w:id="163"/>
    <w:bookmarkEnd w:id="164"/>
    <w:bookmarkEnd w:id="165"/>
    <w:bookmarkEnd w:id="166"/>
    <w:bookmarkEnd w:id="167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8" w:name="_Справка_об_участии_в_судебных_разби"/>
      <w:bookmarkStart w:id="169" w:name="_Справка_об_участии_1"/>
      <w:bookmarkStart w:id="170" w:name="P211"/>
      <w:bookmarkStart w:id="171" w:name="P223"/>
      <w:bookmarkStart w:id="172" w:name="P239"/>
      <w:bookmarkStart w:id="173" w:name="_Toc169684958"/>
      <w:bookmarkStart w:id="174" w:name="_Toc536447362"/>
      <w:bookmarkStart w:id="175" w:name="_Toc20224424"/>
      <w:bookmarkStart w:id="176" w:name="_Toc20252656"/>
      <w:bookmarkEnd w:id="168"/>
      <w:bookmarkEnd w:id="169"/>
      <w:bookmarkEnd w:id="170"/>
      <w:bookmarkEnd w:id="171"/>
      <w:bookmarkEnd w:id="172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3"/>
    </w:p>
    <w:bookmarkEnd w:id="174"/>
    <w:bookmarkEnd w:id="175"/>
    <w:bookmarkEnd w:id="176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064C315E" w14:textId="1ACFBDF0" w:rsidR="004F13D4" w:rsidRPr="00EB2187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DB0747" w:rsidRPr="00F247CB" w14:paraId="2199A2A3" w14:textId="77777777" w:rsidTr="000B4C7F">
        <w:trPr>
          <w:trHeight w:val="456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9A1B" w14:textId="28E2D332" w:rsidR="00DB0747" w:rsidRPr="00052DE7" w:rsidRDefault="00DB0747" w:rsidP="00CF1D27">
            <w:pPr>
              <w:rPr>
                <w:i/>
                <w:sz w:val="20"/>
                <w:szCs w:val="20"/>
                <w:highlight w:val="yellow"/>
              </w:rPr>
            </w:pPr>
            <w:r w:rsidRPr="00FE3ADE">
              <w:rPr>
                <w:sz w:val="18"/>
                <w:szCs w:val="18"/>
              </w:rPr>
              <w:t xml:space="preserve">Прокладка футляра из полиэтиленовой трубы </w:t>
            </w:r>
            <w:r w:rsidRPr="00DB0747">
              <w:rPr>
                <w:sz w:val="18"/>
                <w:szCs w:val="18"/>
              </w:rPr>
              <w:t>диаметром 160 мм плетью с применением установок горизонтально-направленного бурения с тяговым усилением не менее 20 т, при</w:t>
            </w:r>
            <w:r w:rsidRPr="00FE3ADE">
              <w:rPr>
                <w:sz w:val="18"/>
                <w:szCs w:val="18"/>
              </w:rPr>
              <w:t xml:space="preserve"> количестве труб в плети 1 и более через автодорогу со стоимостью материала (</w:t>
            </w:r>
            <w:r w:rsidRPr="00DB0747">
              <w:rPr>
                <w:sz w:val="18"/>
                <w:szCs w:val="18"/>
                <w:highlight w:val="yellow"/>
              </w:rPr>
              <w:t>труба ПЭ</w:t>
            </w:r>
            <w:r w:rsidR="00CF1D27">
              <w:rPr>
                <w:sz w:val="18"/>
                <w:szCs w:val="18"/>
                <w:highlight w:val="yellow"/>
              </w:rPr>
              <w:t xml:space="preserve"> </w:t>
            </w:r>
            <w:r w:rsidRPr="00DB0747">
              <w:rPr>
                <w:sz w:val="18"/>
                <w:szCs w:val="18"/>
                <w:highlight w:val="yellow"/>
              </w:rPr>
              <w:t>100</w:t>
            </w:r>
            <w:r w:rsidR="00CF1D27">
              <w:rPr>
                <w:sz w:val="18"/>
                <w:szCs w:val="18"/>
                <w:highlight w:val="yellow"/>
              </w:rPr>
              <w:t xml:space="preserve"> </w:t>
            </w:r>
            <w:r w:rsidRPr="00DB0747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DB0747">
              <w:rPr>
                <w:sz w:val="18"/>
                <w:szCs w:val="18"/>
                <w:highlight w:val="yellow"/>
              </w:rPr>
              <w:t>____)</w:t>
            </w:r>
            <w:r w:rsidRPr="00FE3AD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,</w:t>
            </w:r>
            <w:r w:rsidRPr="00DB0747"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DB0747">
              <w:rPr>
                <w:i/>
                <w:sz w:val="20"/>
                <w:szCs w:val="20"/>
                <w:highlight w:val="yellow"/>
              </w:rPr>
              <w:t>используемого при производстве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D207" w14:textId="14A2F25E" w:rsidR="00DB0747" w:rsidRPr="0083513A" w:rsidRDefault="00DB0747" w:rsidP="00DB0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6AE" w14:textId="028D2D80" w:rsidR="00DB0747" w:rsidRPr="0083513A" w:rsidRDefault="00DB0747" w:rsidP="00DB0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668" w14:textId="63FACDD6" w:rsidR="00DB0747" w:rsidRPr="00F247CB" w:rsidRDefault="00DB0747" w:rsidP="00DB0747">
            <w:pPr>
              <w:jc w:val="center"/>
              <w:rPr>
                <w:sz w:val="22"/>
                <w:szCs w:val="22"/>
              </w:rPr>
            </w:pPr>
          </w:p>
        </w:tc>
      </w:tr>
      <w:tr w:rsidR="00DB0747" w:rsidRPr="00F247CB" w14:paraId="07406BD6" w14:textId="77777777" w:rsidTr="000B4C7F">
        <w:trPr>
          <w:trHeight w:val="456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3514" w14:textId="7B09303E" w:rsidR="00DB0747" w:rsidRDefault="00DB0747" w:rsidP="00DB074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E3ADE">
              <w:rPr>
                <w:sz w:val="18"/>
                <w:szCs w:val="18"/>
              </w:rPr>
              <w:t xml:space="preserve">Прокладка футляра из полиэтиленовой трубы </w:t>
            </w:r>
            <w:r w:rsidRPr="00DB0747">
              <w:rPr>
                <w:sz w:val="18"/>
                <w:szCs w:val="18"/>
              </w:rPr>
              <w:t>диаметром 160 мм плетью с применением установок горизонталь</w:t>
            </w:r>
            <w:r w:rsidRPr="00FE3ADE">
              <w:rPr>
                <w:sz w:val="18"/>
                <w:szCs w:val="18"/>
              </w:rPr>
              <w:t>но-направленного бурения с тяговым усилением не менее 20 т, при количестве труб в плети 1 и более через автодорогу со стоимостью материала (</w:t>
            </w:r>
            <w:r w:rsidRPr="00DB0747">
              <w:rPr>
                <w:sz w:val="18"/>
                <w:szCs w:val="18"/>
                <w:highlight w:val="yellow"/>
              </w:rPr>
              <w:t>труба ПЭ</w:t>
            </w:r>
            <w:r w:rsidR="00CF1D27">
              <w:rPr>
                <w:sz w:val="18"/>
                <w:szCs w:val="18"/>
                <w:highlight w:val="yellow"/>
              </w:rPr>
              <w:t xml:space="preserve"> </w:t>
            </w:r>
            <w:r w:rsidRPr="00DB0747">
              <w:rPr>
                <w:sz w:val="18"/>
                <w:szCs w:val="18"/>
                <w:highlight w:val="yellow"/>
              </w:rPr>
              <w:t>100</w:t>
            </w:r>
            <w:r w:rsidR="00CF1D27">
              <w:rPr>
                <w:sz w:val="18"/>
                <w:szCs w:val="18"/>
                <w:highlight w:val="yellow"/>
              </w:rPr>
              <w:t xml:space="preserve"> </w:t>
            </w:r>
            <w:r w:rsidRPr="00DB0747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DB0747">
              <w:rPr>
                <w:sz w:val="18"/>
                <w:szCs w:val="18"/>
                <w:highlight w:val="yellow"/>
              </w:rPr>
              <w:t>____)</w:t>
            </w:r>
            <w:r w:rsidRPr="00FE3AD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DBDF85B" w14:textId="76C94CB4" w:rsidR="00DB0747" w:rsidRPr="00052DE7" w:rsidRDefault="00DB0747" w:rsidP="00DB0747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 xml:space="preserve">наименование </w:t>
            </w:r>
            <w:proofErr w:type="gramStart"/>
            <w:r w:rsidRPr="00CA38F6">
              <w:rPr>
                <w:i/>
                <w:sz w:val="20"/>
                <w:szCs w:val="20"/>
                <w:highlight w:val="yellow"/>
              </w:rPr>
              <w:t>Товара</w:t>
            </w:r>
            <w:r>
              <w:rPr>
                <w:i/>
                <w:sz w:val="20"/>
                <w:szCs w:val="20"/>
                <w:highlight w:val="yellow"/>
              </w:rPr>
              <w:t>,</w:t>
            </w:r>
            <w:r>
              <w:rPr>
                <w:i/>
                <w:sz w:val="20"/>
                <w:szCs w:val="20"/>
                <w:highlight w:val="yellow"/>
              </w:rPr>
              <w:br/>
            </w:r>
            <w:r w:rsidRPr="00DB0747">
              <w:rPr>
                <w:i/>
                <w:sz w:val="20"/>
                <w:szCs w:val="20"/>
                <w:highlight w:val="yellow"/>
              </w:rPr>
              <w:t>используемого</w:t>
            </w:r>
            <w:proofErr w:type="gramEnd"/>
            <w:r w:rsidRPr="00DB0747">
              <w:rPr>
                <w:i/>
                <w:sz w:val="20"/>
                <w:szCs w:val="20"/>
                <w:highlight w:val="yellow"/>
              </w:rPr>
              <w:t xml:space="preserve"> при производстве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8BFB" w14:textId="4A38B25A" w:rsidR="00DB0747" w:rsidRPr="0083513A" w:rsidRDefault="00DB0747" w:rsidP="00DB0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FC9F" w14:textId="7D172BD6" w:rsidR="00DB0747" w:rsidRPr="0083513A" w:rsidRDefault="00DB0747" w:rsidP="00DB0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A8C" w14:textId="27B7797D" w:rsidR="00DB0747" w:rsidRPr="00F247CB" w:rsidRDefault="00DB0747" w:rsidP="00DB074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lastRenderedPageBreak/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2A41B396" w14:textId="77777777" w:rsidR="009814BC" w:rsidRDefault="009814BC" w:rsidP="009814BC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lastRenderedPageBreak/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4"/>
      <w:footerReference w:type="default" r:id="rId35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086A88" w:rsidRDefault="00086A88">
      <w:r>
        <w:separator/>
      </w:r>
    </w:p>
  </w:endnote>
  <w:endnote w:type="continuationSeparator" w:id="0">
    <w:p w14:paraId="7FAFF9E5" w14:textId="77777777" w:rsidR="00086A88" w:rsidRDefault="0008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086A88" w:rsidRDefault="00086A88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DE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086A88" w:rsidRDefault="00086A88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086A88" w:rsidRDefault="00086A8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086A88" w:rsidRDefault="00086A88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C0DE1">
      <w:rPr>
        <w:rStyle w:val="ae"/>
        <w:noProof/>
      </w:rPr>
      <w:t>40</w:t>
    </w:r>
    <w:r>
      <w:rPr>
        <w:rStyle w:val="ae"/>
      </w:rPr>
      <w:fldChar w:fldCharType="end"/>
    </w:r>
  </w:p>
  <w:p w14:paraId="0024549F" w14:textId="77777777" w:rsidR="00086A88" w:rsidRDefault="00086A8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086A88" w:rsidRDefault="00086A88">
      <w:r>
        <w:separator/>
      </w:r>
    </w:p>
  </w:footnote>
  <w:footnote w:type="continuationSeparator" w:id="0">
    <w:p w14:paraId="2F7EA3F9" w14:textId="77777777" w:rsidR="00086A88" w:rsidRDefault="0008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6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1"/>
  </w:num>
  <w:num w:numId="8">
    <w:abstractNumId w:val="29"/>
  </w:num>
  <w:num w:numId="9">
    <w:abstractNumId w:val="20"/>
  </w:num>
  <w:num w:numId="10">
    <w:abstractNumId w:val="3"/>
  </w:num>
  <w:num w:numId="11">
    <w:abstractNumId w:val="33"/>
  </w:num>
  <w:num w:numId="12">
    <w:abstractNumId w:val="15"/>
  </w:num>
  <w:num w:numId="13">
    <w:abstractNumId w:val="8"/>
  </w:num>
  <w:num w:numId="14">
    <w:abstractNumId w:val="2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7"/>
  </w:num>
  <w:num w:numId="19">
    <w:abstractNumId w:val="36"/>
  </w:num>
  <w:num w:numId="20">
    <w:abstractNumId w:val="11"/>
  </w:num>
  <w:num w:numId="21">
    <w:abstractNumId w:val="1"/>
  </w:num>
  <w:num w:numId="22">
    <w:abstractNumId w:val="19"/>
  </w:num>
  <w:num w:numId="23">
    <w:abstractNumId w:val="21"/>
  </w:num>
  <w:num w:numId="24">
    <w:abstractNumId w:val="14"/>
  </w:num>
  <w:num w:numId="25">
    <w:abstractNumId w:val="34"/>
  </w:num>
  <w:num w:numId="26">
    <w:abstractNumId w:val="13"/>
  </w:num>
  <w:num w:numId="27">
    <w:abstractNumId w:val="12"/>
  </w:num>
  <w:num w:numId="28">
    <w:abstractNumId w:val="7"/>
  </w:num>
  <w:num w:numId="29">
    <w:abstractNumId w:val="28"/>
  </w:num>
  <w:num w:numId="30">
    <w:abstractNumId w:val="25"/>
  </w:num>
  <w:num w:numId="31">
    <w:abstractNumId w:val="30"/>
  </w:num>
  <w:num w:numId="32">
    <w:abstractNumId w:val="22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075E0"/>
    <w:rsid w:val="00010F13"/>
    <w:rsid w:val="000117F9"/>
    <w:rsid w:val="00012980"/>
    <w:rsid w:val="00013C84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714E"/>
    <w:rsid w:val="00052558"/>
    <w:rsid w:val="00053115"/>
    <w:rsid w:val="00055A66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7015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146E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6B0B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230B"/>
    <w:rsid w:val="004B2782"/>
    <w:rsid w:val="004B62F1"/>
    <w:rsid w:val="004C11C3"/>
    <w:rsid w:val="004C2BE3"/>
    <w:rsid w:val="004C2E34"/>
    <w:rsid w:val="004C2ECB"/>
    <w:rsid w:val="004C7FFC"/>
    <w:rsid w:val="004D03DD"/>
    <w:rsid w:val="004D0BB9"/>
    <w:rsid w:val="004D13D9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2290"/>
    <w:rsid w:val="007C340C"/>
    <w:rsid w:val="007C3B70"/>
    <w:rsid w:val="007C3EE0"/>
    <w:rsid w:val="007D0277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3A0"/>
    <w:rsid w:val="00A1396B"/>
    <w:rsid w:val="00A13E6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4BBC"/>
    <w:rsid w:val="00A418DE"/>
    <w:rsid w:val="00A43087"/>
    <w:rsid w:val="00A4343C"/>
    <w:rsid w:val="00A43967"/>
    <w:rsid w:val="00A45C4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EF4"/>
    <w:rsid w:val="00A90304"/>
    <w:rsid w:val="00A9242C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10E0"/>
    <w:rsid w:val="00AD1685"/>
    <w:rsid w:val="00AD3B0A"/>
    <w:rsid w:val="00AD3FB3"/>
    <w:rsid w:val="00AD5A6A"/>
    <w:rsid w:val="00AD7A06"/>
    <w:rsid w:val="00AE0139"/>
    <w:rsid w:val="00AE0176"/>
    <w:rsid w:val="00AE2CA5"/>
    <w:rsid w:val="00AE511B"/>
    <w:rsid w:val="00AE5418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70C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93"/>
    <w:rsid w:val="00C25D36"/>
    <w:rsid w:val="00C30499"/>
    <w:rsid w:val="00C34503"/>
    <w:rsid w:val="00C35516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2187"/>
    <w:rsid w:val="00EB3C84"/>
    <w:rsid w:val="00EB3E3B"/>
    <w:rsid w:val="00EB5EE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3ADE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1148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3.xm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8F16-4B9F-4FE1-AE79-255E936F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40</Pages>
  <Words>16147</Words>
  <Characters>92044</Characters>
  <Application>Microsoft Office Word</Application>
  <DocSecurity>0</DocSecurity>
  <Lines>767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107976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146</cp:revision>
  <cp:lastPrinted>2024-06-25T05:50:00Z</cp:lastPrinted>
  <dcterms:created xsi:type="dcterms:W3CDTF">2023-07-18T10:07:00Z</dcterms:created>
  <dcterms:modified xsi:type="dcterms:W3CDTF">2024-06-25T06:39:00Z</dcterms:modified>
</cp:coreProperties>
</file>